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87A" w:rsidRDefault="0034587A" w:rsidP="0034587A">
      <w:pPr>
        <w:adjustRightInd w:val="0"/>
        <w:snapToGrid w:val="0"/>
        <w:spacing w:before="200" w:line="288" w:lineRule="auto"/>
        <w:jc w:val="center"/>
        <w:outlineLvl w:val="1"/>
        <w:rPr>
          <w:rFonts w:ascii="Times New Roman" w:hAnsi="Times New Roman" w:cs="Times New Roman"/>
          <w:b/>
          <w:bCs/>
          <w:sz w:val="24"/>
          <w:szCs w:val="24"/>
        </w:rPr>
      </w:pPr>
      <w:r>
        <w:rPr>
          <w:rFonts w:ascii="Times New Roman" w:hAnsi="Times New Roman" w:cs="Times New Roman"/>
          <w:b/>
          <w:bCs/>
          <w:sz w:val="24"/>
          <w:szCs w:val="24"/>
        </w:rPr>
        <w:t>Detailed Rules of Soybean Oil Futures of Dalian Commodity Exchange</w:t>
      </w:r>
    </w:p>
    <w:p w:rsidR="0034587A" w:rsidRDefault="0034587A" w:rsidP="0034587A">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  General Provisions</w:t>
      </w:r>
    </w:p>
    <w:p w:rsidR="0034587A" w:rsidRDefault="0034587A" w:rsidP="0034587A">
      <w:pPr>
        <w:widowControl w:val="0"/>
        <w:numPr>
          <w:ilvl w:val="0"/>
          <w:numId w:val="1"/>
        </w:numPr>
        <w:adjustRightInd w:val="0"/>
        <w:snapToGrid w:val="0"/>
        <w:spacing w:before="200" w:line="288" w:lineRule="auto"/>
        <w:ind w:left="1276" w:hanging="1276"/>
        <w:rPr>
          <w:rFonts w:ascii="Times New Roman" w:hAnsi="Times New Roman" w:cs="Times New Roman"/>
          <w:sz w:val="24"/>
          <w:szCs w:val="24"/>
        </w:rPr>
      </w:pPr>
      <w:r>
        <w:rPr>
          <w:rFonts w:ascii="Times New Roman" w:hAnsi="Times New Roman" w:cs="Times New Roman"/>
          <w:sz w:val="24"/>
          <w:szCs w:val="24"/>
        </w:rPr>
        <w:t>The Detailed Rules of Soybean Oil Futures of Dalian Commodity Exchange (the "</w:t>
      </w:r>
      <w:r>
        <w:rPr>
          <w:rFonts w:ascii="Times New Roman" w:hAnsi="Times New Roman" w:cs="Times New Roman"/>
          <w:b/>
          <w:sz w:val="24"/>
          <w:szCs w:val="24"/>
        </w:rPr>
        <w:t>Detailed Rules</w:t>
      </w:r>
      <w:r>
        <w:rPr>
          <w:rFonts w:ascii="Times New Roman" w:hAnsi="Times New Roman" w:cs="Times New Roman"/>
          <w:sz w:val="24"/>
          <w:szCs w:val="24"/>
        </w:rPr>
        <w:t xml:space="preserve">") are formulated pursuant to the </w:t>
      </w:r>
      <w:r>
        <w:rPr>
          <w:rFonts w:ascii="Times New Roman" w:hAnsi="Times New Roman" w:cs="Times New Roman"/>
          <w:i/>
          <w:sz w:val="24"/>
          <w:szCs w:val="24"/>
        </w:rPr>
        <w:t>Trading Rules of Dalian Commodity Exchange</w:t>
      </w:r>
      <w:r>
        <w:rPr>
          <w:rFonts w:ascii="Times New Roman" w:hAnsi="Times New Roman" w:cs="Times New Roman"/>
          <w:sz w:val="24"/>
          <w:szCs w:val="24"/>
        </w:rPr>
        <w:t xml:space="preserve"> and the </w:t>
      </w:r>
      <w:r>
        <w:rPr>
          <w:rFonts w:ascii="Times New Roman" w:hAnsi="Times New Roman" w:cs="Times New Roman"/>
          <w:i/>
          <w:sz w:val="24"/>
          <w:szCs w:val="24"/>
        </w:rPr>
        <w:t>Soybean Oil Futures Contract of Dalian Commodity Exchange</w:t>
      </w:r>
      <w:r>
        <w:rPr>
          <w:rFonts w:ascii="Times New Roman" w:hAnsi="Times New Roman" w:cs="Times New Roman"/>
          <w:sz w:val="24"/>
          <w:szCs w:val="24"/>
        </w:rPr>
        <w:t xml:space="preserve"> for the purpose of standardizing the trading of soybean oil futures contracts.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Dalian Commodity Exchange (the "</w:t>
      </w:r>
      <w:r>
        <w:rPr>
          <w:rFonts w:ascii="Times New Roman" w:hAnsi="Times New Roman" w:cs="Times New Roman"/>
          <w:b/>
          <w:sz w:val="24"/>
          <w:szCs w:val="24"/>
        </w:rPr>
        <w:t>Exchange</w:t>
      </w:r>
      <w:r>
        <w:rPr>
          <w:rFonts w:ascii="Times New Roman" w:hAnsi="Times New Roman" w:cs="Times New Roman"/>
          <w:sz w:val="24"/>
          <w:szCs w:val="24"/>
        </w:rPr>
        <w:t>"), its Members, the clients, the designated delivery warehouses, the designated quality inspection agencies, the designated futures margin depositary banks and other participants in the futures market shall comply with the Detailed Rules.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it is not provided in the Detailed Rules, the relevant rules of the Exchange shall apply.</w:t>
      </w:r>
    </w:p>
    <w:p w:rsidR="0034587A" w:rsidRDefault="0034587A" w:rsidP="0034587A">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II  Principle Terms of the Contract and Relevant Parameters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quality standards for the standard deliverable products under the soybean oil futures contract are detailed in the </w:t>
      </w:r>
      <w:r>
        <w:rPr>
          <w:rFonts w:ascii="Times New Roman" w:hAnsi="Times New Roman" w:cs="Times New Roman"/>
          <w:i/>
          <w:sz w:val="24"/>
          <w:szCs w:val="24"/>
        </w:rPr>
        <w:t>Soybean Oil Delivery Quality Standard of Dalian Commodity Exchange</w:t>
      </w:r>
      <w:r>
        <w:rPr>
          <w:rFonts w:ascii="Times New Roman" w:hAnsi="Times New Roman" w:cs="Times New Roman"/>
          <w:sz w:val="24"/>
          <w:szCs w:val="24"/>
        </w:rPr>
        <w:t xml:space="preserve"> </w:t>
      </w:r>
      <w:r>
        <w:rPr>
          <w:rFonts w:ascii="Times New Roman" w:hAnsi="Times New Roman" w:cs="Times New Roman"/>
          <w:i/>
          <w:iCs/>
          <w:sz w:val="24"/>
          <w:szCs w:val="24"/>
        </w:rPr>
        <w:t xml:space="preserve">(F/DCE Y002-2020) </w:t>
      </w:r>
      <w:r>
        <w:rPr>
          <w:rFonts w:ascii="Times New Roman" w:hAnsi="Times New Roman" w:cs="Times New Roman"/>
          <w:sz w:val="24"/>
          <w:szCs w:val="24"/>
        </w:rPr>
        <w:t>as Annex 1 attached hereto.</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soybean oil futures contract shall take the form of physical delivery.</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delivery warehouses designated for soybean oil shall be divided into the benchmark delivery warehouses and the non-benchmark delivery warehouses (detailed in the</w:t>
      </w:r>
      <w:r>
        <w:rPr>
          <w:rFonts w:ascii="Times New Roman" w:hAnsi="Times New Roman" w:cs="Times New Roman"/>
          <w:i/>
          <w:sz w:val="24"/>
          <w:szCs w:val="24"/>
        </w:rPr>
        <w:t xml:space="preserve"> List of Delivery Warehouses Designated for Soybean oil of Dalian Commodity Exchange</w:t>
      </w:r>
      <w:r>
        <w:rPr>
          <w:rFonts w:ascii="Times New Roman" w:hAnsi="Times New Roman" w:cs="Times New Roman"/>
          <w:sz w:val="24"/>
          <w:szCs w:val="24"/>
        </w:rPr>
        <w:t xml:space="preserve"> as Annex 2 attached hereto).</w:t>
      </w:r>
    </w:p>
    <w:p w:rsidR="0034587A" w:rsidRDefault="0034587A" w:rsidP="0034587A">
      <w:pPr>
        <w:adjustRightInd w:val="0"/>
        <w:snapToGrid w:val="0"/>
        <w:spacing w:before="200" w:line="288" w:lineRule="auto"/>
        <w:ind w:leftChars="606" w:left="1273" w:firstLine="2"/>
        <w:rPr>
          <w:rFonts w:ascii="Times New Roman" w:hAnsi="Times New Roman" w:cs="Times New Roman"/>
          <w:sz w:val="24"/>
          <w:szCs w:val="24"/>
        </w:rPr>
      </w:pPr>
      <w:r>
        <w:rPr>
          <w:rFonts w:ascii="Times New Roman" w:hAnsi="Times New Roman" w:cs="Times New Roman"/>
          <w:sz w:val="24"/>
          <w:szCs w:val="24"/>
        </w:rPr>
        <w:t xml:space="preserve">Soybean oil's designated delivery warehouse premium/discount can be a fixed or floating rate. The floating rate is calculated in accordance with Annex 3 </w:t>
      </w:r>
      <w:r>
        <w:rPr>
          <w:rFonts w:ascii="Times New Roman" w:hAnsi="Times New Roman" w:cs="Times New Roman"/>
          <w:bCs/>
          <w:i/>
          <w:sz w:val="24"/>
          <w:szCs w:val="24"/>
        </w:rPr>
        <w:t>Dynamic Premium and Discount Standard for Soybean Oil Futures on Dalian Commodity Exchange</w:t>
      </w:r>
      <w:r>
        <w:rPr>
          <w:rFonts w:ascii="Times New Roman" w:hAnsi="Times New Roman" w:cs="Times New Roman"/>
          <w:sz w:val="24"/>
          <w:szCs w:val="24"/>
        </w:rPr>
        <w:t>. The floating rate and the fixed rate will be determined by the Exchange and publicly announced. The Exchange may make adjustments to soybean oil's designated delivery warehouse and premium/discount rates depending on circumstances.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contract months of the soybean oil futures contract are January, March, May, July, August, September, November and December.</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trading unit of the soybean oil futures contract is 10 MT/ Lot.</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price quote unit of the soybean oil futures contract is CNY/MT.</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lastRenderedPageBreak/>
        <w:t>The minimum tick size of the soybean oil futures contract is 2 CNY/MT.</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maximum quantity of orders placed each time for the soybean oil futures contract shall be one thousand (1,000) lots.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standard of trading margins, price limit range and position limit under the soybean oil futures contract shall be subject to the relevant provisions of the </w:t>
      </w:r>
      <w:r>
        <w:rPr>
          <w:rFonts w:ascii="Times New Roman" w:hAnsi="Times New Roman" w:cs="Times New Roman"/>
          <w:i/>
          <w:sz w:val="24"/>
          <w:szCs w:val="24"/>
        </w:rPr>
        <w:t>Measures for Risk Management of Dalian Commodity Exchange</w:t>
      </w:r>
      <w:r>
        <w:rPr>
          <w:rFonts w:ascii="Times New Roman" w:hAnsi="Times New Roman" w:cs="Times New Roman"/>
          <w:sz w:val="24"/>
          <w:szCs w:val="24"/>
        </w:rPr>
        <w:t xml:space="preserve">. </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last trading day of the soybean oil futures contract is the tenth trading day of the contract month.</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last delivery day of the soybean oil futures contract is the third trading day after the last trading day.</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ticker symbol of the soybean oil futures contract is Y.</w:t>
      </w:r>
    </w:p>
    <w:p w:rsidR="0034587A" w:rsidRDefault="0034587A" w:rsidP="0034587A">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III  Delivery and Clearing</w:t>
      </w:r>
    </w:p>
    <w:p w:rsidR="0034587A" w:rsidRDefault="0034587A" w:rsidP="0034587A">
      <w:pPr>
        <w:adjustRightInd w:val="0"/>
        <w:snapToGrid w:val="0"/>
        <w:spacing w:before="200" w:line="288" w:lineRule="auto"/>
        <w:jc w:val="center"/>
        <w:rPr>
          <w:rFonts w:ascii="Times New Roman" w:hAnsi="Times New Roman" w:cs="Times New Roman"/>
          <w:sz w:val="24"/>
          <w:szCs w:val="24"/>
        </w:rPr>
      </w:pPr>
      <w:r>
        <w:rPr>
          <w:rFonts w:ascii="Times New Roman" w:hAnsi="Times New Roman" w:cs="Times New Roman"/>
          <w:sz w:val="24"/>
          <w:szCs w:val="24"/>
        </w:rPr>
        <w:t>Section I  General Provisions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soybean oil futures contract may apply the exchange of futures for physicals (the "</w:t>
      </w:r>
      <w:r>
        <w:rPr>
          <w:rFonts w:ascii="Times New Roman" w:hAnsi="Times New Roman" w:cs="Times New Roman"/>
          <w:b/>
          <w:sz w:val="24"/>
          <w:szCs w:val="24"/>
        </w:rPr>
        <w:t>EFP</w:t>
      </w:r>
      <w:r>
        <w:rPr>
          <w:rFonts w:ascii="Times New Roman" w:hAnsi="Times New Roman" w:cs="Times New Roman"/>
          <w:sz w:val="24"/>
          <w:szCs w:val="24"/>
        </w:rPr>
        <w:t xml:space="preserve">"), rolling delivery and one-off delivery, the detailed procedures of which are provided in the relevant provisions of the </w:t>
      </w:r>
      <w:r>
        <w:rPr>
          <w:rFonts w:ascii="Times New Roman" w:hAnsi="Times New Roman" w:cs="Times New Roman"/>
          <w:i/>
          <w:sz w:val="24"/>
          <w:szCs w:val="24"/>
        </w:rPr>
        <w:t>Measures for Delivery Management of Dalian Commodity Exchange</w:t>
      </w:r>
      <w:r>
        <w:rPr>
          <w:rFonts w:ascii="Times New Roman" w:hAnsi="Times New Roman" w:cs="Times New Roman"/>
          <w:sz w:val="24"/>
          <w:szCs w:val="24"/>
        </w:rPr>
        <w:t xml:space="preserve"> and the </w:t>
      </w:r>
      <w:r>
        <w:rPr>
          <w:rFonts w:ascii="Times New Roman" w:hAnsi="Times New Roman" w:cs="Times New Roman"/>
          <w:i/>
          <w:sz w:val="24"/>
          <w:szCs w:val="24"/>
        </w:rPr>
        <w:t>Measures for Clearing Management of Dalian Commodity Exchange</w:t>
      </w:r>
      <w:r>
        <w:rPr>
          <w:rFonts w:ascii="Times New Roman" w:hAnsi="Times New Roman" w:cs="Times New Roman"/>
          <w:sz w:val="24"/>
          <w:szCs w:val="24"/>
        </w:rPr>
        <w:t xml:space="preserve">. </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b/>
          <w:sz w:val="24"/>
          <w:szCs w:val="24"/>
        </w:rPr>
      </w:pPr>
      <w:r>
        <w:rPr>
          <w:rFonts w:ascii="Times New Roman" w:hAnsi="Times New Roman" w:cs="Times New Roman"/>
          <w:sz w:val="24"/>
          <w:szCs w:val="24"/>
        </w:rPr>
        <w:t>The standard warehouse receipt of the soybean oil shall be divided into the standard warehouse receipt of storage warehouse and the standard factory warehouse receipt.</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dedicated VAT invoice shall be issued for delivery of soybean oil.</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delivery commissions, the sampling and inspection fees, the storage and dissipation fees (including the warehousing fees, custody dissipation fees) and other fees of Soybean Oil shall be separately published by the Exchange.</w:t>
      </w:r>
    </w:p>
    <w:p w:rsidR="0034587A" w:rsidRDefault="0034587A" w:rsidP="0034587A">
      <w:pPr>
        <w:adjustRightInd w:val="0"/>
        <w:snapToGrid w:val="0"/>
        <w:spacing w:before="200" w:line="288" w:lineRule="auto"/>
        <w:jc w:val="center"/>
        <w:rPr>
          <w:rFonts w:ascii="Times New Roman" w:hAnsi="Times New Roman" w:cs="Times New Roman"/>
          <w:sz w:val="24"/>
          <w:szCs w:val="24"/>
        </w:rPr>
      </w:pPr>
      <w:r>
        <w:rPr>
          <w:rFonts w:ascii="Times New Roman" w:hAnsi="Times New Roman" w:cs="Times New Roman"/>
          <w:sz w:val="24"/>
          <w:szCs w:val="24"/>
        </w:rPr>
        <w:t>Section II  Standard Warehouse Receipt Delivery</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Measures for Standard Warehouse Receipt Management of Dalian Commodity Exchange</w:t>
      </w:r>
      <w:r>
        <w:rPr>
          <w:rFonts w:ascii="Times New Roman" w:hAnsi="Times New Roman" w:cs="Times New Roman"/>
          <w:sz w:val="24"/>
          <w:szCs w:val="24"/>
        </w:rPr>
        <w:t xml:space="preserve"> shall apply to the generation, circulation and deregistration of the standard warehouse receipts, if not provided in the Detailed Rules.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Member shall pay the notice of intent to deliver earnest money to the Exchange as per the standard of CNY thirty (30) per ton when it handles </w:t>
      </w:r>
      <w:r>
        <w:rPr>
          <w:rFonts w:ascii="Times New Roman" w:hAnsi="Times New Roman" w:cs="Times New Roman"/>
          <w:sz w:val="24"/>
          <w:szCs w:val="24"/>
        </w:rPr>
        <w:lastRenderedPageBreak/>
        <w:t>the notice of intent to deliver.</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owner which has fully completed the notice of intent to deliver shall, before consignment, notify the designated delivery warehouse of the vehicle or vessel number, products, quantity, arrival time and other information, and the designated delivery warehouse shall reasonably arrange for receipt and loading-in of the commodities. </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receiving and consigning weights of the soybean oil shall be subject to the weighting by the designated delivery warehouse through measurement of wagon balance for automobile transport, through measurement of train tank ruler-metering for train transport, or through measurement of oil storage tank ruler-metering for vessel transport.</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designated delivery warehouse shall conduct inspection of the soybean oil loaded in the warehouse subject to the applicable provisions of the Exchange. In case the inspection results are conforming, the designated delivery warehouse shall submit the relevant inspection report to the Exchange. The Exchange or the inspection agency engaged by the Exchange shall check the commodities loaded in the warehouse, and only after it has confirmed that there is no error, can the commodities loaded in the warehouse be deemed to pass the inspection.</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The designated delivery warehouse shall take one (1) oil pool, one (1) oil tank or one (1) vehicle or train tank as </w:t>
      </w:r>
      <w:bookmarkStart w:id="0" w:name="OLE_LINK72"/>
      <w:bookmarkStart w:id="1" w:name="OLE_LINK73"/>
      <w:bookmarkStart w:id="2" w:name="OLE_LINK71"/>
      <w:bookmarkStart w:id="3" w:name="OLE_LINK70"/>
      <w:r>
        <w:rPr>
          <w:rFonts w:ascii="Times New Roman" w:hAnsi="Times New Roman" w:cs="Times New Roman"/>
          <w:sz w:val="24"/>
          <w:szCs w:val="24"/>
        </w:rPr>
        <w:t>an inspection unit</w:t>
      </w:r>
      <w:bookmarkEnd w:id="0"/>
      <w:bookmarkEnd w:id="1"/>
      <w:bookmarkEnd w:id="2"/>
      <w:bookmarkEnd w:id="3"/>
      <w:r>
        <w:rPr>
          <w:rFonts w:ascii="Times New Roman" w:hAnsi="Times New Roman" w:cs="Times New Roman"/>
          <w:sz w:val="24"/>
          <w:szCs w:val="24"/>
        </w:rPr>
        <w:t>, upon inspection of the soybean oil loaded in the warehouse subject to the applicable provisions of the Exchange.</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deregistration of standard warehouse receipts of the soybean oil shall be carried out against the warehouse receipts prior to the last trading day of each March</w:t>
      </w:r>
      <w:r w:rsidR="008916C6" w:rsidRPr="008916C6">
        <w:rPr>
          <w:rFonts w:ascii="Times New Roman" w:hAnsi="Times New Roman" w:cs="Times New Roman"/>
          <w:sz w:val="24"/>
          <w:szCs w:val="24"/>
        </w:rPr>
        <w:t>,</w:t>
      </w:r>
      <w:r w:rsidR="008916C6" w:rsidRPr="008916C6">
        <w:rPr>
          <w:rFonts w:ascii="Times New Roman" w:hAnsi="Times New Roman" w:cs="Times New Roman"/>
          <w:sz w:val="24"/>
          <w:szCs w:val="24"/>
        </w:rPr>
        <w:t xml:space="preserve"> </w:t>
      </w:r>
      <w:r w:rsidR="008916C6" w:rsidRPr="008916C6">
        <w:rPr>
          <w:rFonts w:ascii="Times New Roman" w:hAnsi="Times New Roman" w:cs="Times New Roman"/>
          <w:sz w:val="24"/>
          <w:szCs w:val="24"/>
        </w:rPr>
        <w:t>July</w:t>
      </w:r>
      <w:r w:rsidR="008916C6">
        <w:rPr>
          <w:rFonts w:ascii="Times New Roman" w:hAnsi="Times New Roman" w:cs="Times New Roman"/>
          <w:sz w:val="24"/>
          <w:szCs w:val="24"/>
        </w:rPr>
        <w:t xml:space="preserve"> </w:t>
      </w:r>
      <w:r w:rsidR="008916C6" w:rsidRPr="008916C6">
        <w:rPr>
          <w:rFonts w:ascii="Times New Roman" w:hAnsi="Times New Roman" w:cs="Times New Roman"/>
          <w:sz w:val="24"/>
          <w:szCs w:val="24"/>
        </w:rPr>
        <w:t>and</w:t>
      </w:r>
      <w:r w:rsidR="008916C6">
        <w:rPr>
          <w:rFonts w:ascii="Times New Roman" w:hAnsi="Times New Roman" w:cs="Times New Roman"/>
          <w:sz w:val="24"/>
          <w:szCs w:val="24"/>
        </w:rPr>
        <w:t xml:space="preserve"> </w:t>
      </w:r>
      <w:bookmarkStart w:id="4" w:name="_GoBack"/>
      <w:bookmarkEnd w:id="4"/>
      <w:r w:rsidR="008916C6" w:rsidRPr="008916C6">
        <w:rPr>
          <w:rFonts w:ascii="Times New Roman" w:hAnsi="Times New Roman" w:cs="Times New Roman"/>
          <w:sz w:val="24"/>
          <w:szCs w:val="24"/>
        </w:rPr>
        <w:t>November</w:t>
      </w:r>
      <w:r>
        <w:rPr>
          <w:rFonts w:ascii="Times New Roman" w:hAnsi="Times New Roman" w:cs="Times New Roman"/>
          <w:sz w:val="24"/>
          <w:szCs w:val="24"/>
        </w:rPr>
        <w:t>.</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With respect to a storage warehouse with refining capacity, in case the owner requests refinement after the deregistration of standard warehouse receipts of the soybean oil storage warehouse, the warehouse shall be obligated to refine the soybean oil on its behalf, with the refined products, refining loss and refining costs to be determined through negotiations between the storage warehouse and the owner.</w:t>
      </w:r>
    </w:p>
    <w:p w:rsidR="0034587A" w:rsidRDefault="0034587A" w:rsidP="0034587A">
      <w:pPr>
        <w:adjustRightInd w:val="0"/>
        <w:snapToGrid w:val="0"/>
        <w:spacing w:before="200" w:line="288" w:lineRule="auto"/>
        <w:ind w:leftChars="607" w:left="1275"/>
        <w:rPr>
          <w:rFonts w:ascii="Times New Roman" w:hAnsi="Times New Roman" w:cs="Times New Roman"/>
          <w:sz w:val="24"/>
          <w:szCs w:val="24"/>
        </w:rPr>
      </w:pPr>
      <w:r>
        <w:rPr>
          <w:rFonts w:ascii="Times New Roman" w:hAnsi="Times New Roman" w:cs="Times New Roman"/>
          <w:sz w:val="24"/>
          <w:szCs w:val="24"/>
        </w:rPr>
        <w:t xml:space="preserve">With respect to the factory warehouse with refining capacity, in case the owner requests refinement after the deregistration of standard warehouse receipts of the soybean oil factory warehouse, the factory warehouse shall be obligated to provide to it the refined soybean oil to its satisfaction, with the refined products, refining loss and refining costs to be determined through negotiations between the factory warehouse and owner. </w:t>
      </w:r>
      <w:bookmarkStart w:id="5" w:name="OLE_LINK149"/>
      <w:bookmarkStart w:id="6" w:name="OLE_LINK148"/>
      <w:r>
        <w:rPr>
          <w:rFonts w:ascii="Times New Roman" w:hAnsi="Times New Roman" w:cs="Times New Roman"/>
          <w:sz w:val="24"/>
          <w:szCs w:val="24"/>
        </w:rPr>
        <w:t xml:space="preserve">Under </w:t>
      </w:r>
      <w:r>
        <w:rPr>
          <w:rFonts w:ascii="Times New Roman" w:hAnsi="Times New Roman" w:cs="Times New Roman"/>
          <w:sz w:val="24"/>
          <w:szCs w:val="24"/>
        </w:rPr>
        <w:lastRenderedPageBreak/>
        <w:t>such circumstance, the consignment time and speed may not be consistent with those described in the applicable provisions of the Exchange, but shall be confirmed in writing by the factory warehouse and the owner and properly preserved for check.</w:t>
      </w:r>
      <w:bookmarkEnd w:id="5"/>
      <w:bookmarkEnd w:id="6"/>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When the soybean oil is loaded out of the storage warehouse, the owner which holds the Notice to Load Out or load-out password shall contact the designated delivery warehouse for the loading-out matters three (3) calendar days prior to the actual pickup date, and shall pick up the commodities at the designated delivery warehouse within ten (10) working days (inclusive of the tenth working day) after the deregistration of standard warehouse receipts.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If the owner has any objection on quality of the loaded-out commodities, it shall first negotiate with the warehouse to solve the problem. If the negotiation fails, the owner shall file a written application for re-inspection within ten (10) working days from the date of deregistration of the standard warehouse receipts, provided that the commodities have not been loaded out of the warehouse. The application for re-inspection shall specify the name of the warehouse, the number of the storage tank, </w:t>
      </w:r>
      <w:r>
        <w:rPr>
          <w:rFonts w:ascii="Times New Roman" w:hAnsi="Times New Roman" w:cs="Times New Roman" w:hint="eastAsia"/>
          <w:sz w:val="24"/>
          <w:szCs w:val="24"/>
        </w:rPr>
        <w:t>quantity, quality index</w:t>
      </w:r>
      <w:r>
        <w:rPr>
          <w:rFonts w:ascii="Times New Roman" w:hAnsi="Times New Roman" w:cs="Times New Roman"/>
          <w:sz w:val="24"/>
          <w:szCs w:val="24"/>
        </w:rPr>
        <w:t xml:space="preserve"> and other information of the commodities to be re-inspected, leave the contact information and be affixed with the official seal of the owner. The owner shall be deemed to have no objection over quality of the loaded-out commodities if it does not file application in the prescribed manner within the prescribed period. The re-inspection shall be carried out by the designated quality inspection agency entrusted by the Exchange, and such re-inspection result shall be the basis for settlement of the dispute. The re-inspection fees shall be </w:t>
      </w:r>
      <w:r>
        <w:rPr>
          <w:rFonts w:ascii="Times New Roman" w:hAnsi="Times New Roman" w:cs="Times New Roman" w:hint="eastAsia"/>
          <w:sz w:val="24"/>
          <w:szCs w:val="24"/>
        </w:rPr>
        <w:t>advanced</w:t>
      </w:r>
      <w:r>
        <w:rPr>
          <w:rFonts w:ascii="Times New Roman" w:hAnsi="Times New Roman" w:cs="Times New Roman"/>
          <w:sz w:val="24"/>
          <w:szCs w:val="24"/>
        </w:rPr>
        <w:t xml:space="preserve"> by the owner. If the re-inspection result is in conformity with </w:t>
      </w:r>
      <w:r>
        <w:rPr>
          <w:rFonts w:ascii="Times New Roman" w:hAnsi="Times New Roman" w:cs="Times New Roman"/>
          <w:color w:val="000000"/>
          <w:sz w:val="24"/>
          <w:szCs w:val="24"/>
        </w:rPr>
        <w:t>the quality standards for delivery, the relevant fees (including but not limited to the inspection fees, traveling expenses) as well as any losses incurred thereby shall be borne by the owner; if not, relevant fees (including but not limited to the inspection fees, traveling expenses) as well as any losses incurred thereby shall be borne by the warehouse.</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When the soybean oil is loaded out of the factory warehouse, the owner shall pick up the commodities at the factory warehouse within four (4) calendar days (inclusive of the fourth calendar day) following the deregistration day of standard warehouse receipts (exclusive of the deregistration day). The factory warehouse shall commence consignment within four (4) calendar days (inclusive of the fourth calendar day) following the deregistration day of standard warehouse receipts (exclusive of the deregistration day).</w:t>
      </w:r>
    </w:p>
    <w:p w:rsidR="0034587A" w:rsidRDefault="0034587A" w:rsidP="0034587A">
      <w:pPr>
        <w:adjustRightInd w:val="0"/>
        <w:snapToGrid w:val="0"/>
        <w:spacing w:before="200" w:line="288" w:lineRule="auto"/>
        <w:ind w:leftChars="607" w:left="1275"/>
        <w:rPr>
          <w:rFonts w:ascii="Times New Roman" w:hAnsi="Times New Roman" w:cs="Times New Roman"/>
          <w:sz w:val="24"/>
          <w:szCs w:val="24"/>
        </w:rPr>
      </w:pPr>
      <w:r>
        <w:rPr>
          <w:rFonts w:ascii="Times New Roman" w:hAnsi="Times New Roman" w:cs="Times New Roman"/>
          <w:sz w:val="24"/>
          <w:szCs w:val="24"/>
        </w:rPr>
        <w:lastRenderedPageBreak/>
        <w:t>When the soybean oil is loaded out of the factory warehouse, the factory warehouse shall carry out the sampling under the owner's supervision, and the samplings shall be sealed after being confirmed by both parties and shall be preserved for thirty (30) calendar days following the consignment day.</w:t>
      </w:r>
    </w:p>
    <w:p w:rsidR="0034587A" w:rsidRDefault="0034587A" w:rsidP="0034587A">
      <w:pPr>
        <w:adjustRightInd w:val="0"/>
        <w:snapToGrid w:val="0"/>
        <w:spacing w:before="200" w:line="288" w:lineRule="auto"/>
        <w:ind w:leftChars="607" w:left="1275"/>
        <w:rPr>
          <w:rFonts w:ascii="Times New Roman" w:hAnsi="Times New Roman" w:cs="Times New Roman"/>
          <w:sz w:val="24"/>
          <w:szCs w:val="24"/>
        </w:rPr>
      </w:pPr>
      <w:r>
        <w:rPr>
          <w:rFonts w:ascii="Times New Roman" w:hAnsi="Times New Roman" w:cs="Times New Roman"/>
          <w:sz w:val="24"/>
          <w:szCs w:val="24"/>
        </w:rPr>
        <w:t>If the owner has any objection on quality of the loaded-out commodities, it shall firstly negotiate with the factory warehouse. If the negotiation fails, the owner shall file a written application for re-inspection to the Exchange within ten (10) working days following the consignment date. The re-inspection of the reserved samples shall be carried out by the designated quality inspection agency entrusted by the Exchange, and the inspection result of the samples shall be the basis for settlement of the dispute. Where there is no provision herein, the relevant provisions of Article 29 hereof shall be applicable by reference.</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the factory warehouse consigns commodities to the owner at a speed no higher than the daily consignment speed but the owner fails to pick up the commodities due to its transportation capability or any other reason attributable to the owner, the owner shall pay to the factory warehouse the late fee as per the quantity of the commodities which shall be, but fail to be, picked up. The late fee is determined as follows:</w:t>
      </w:r>
    </w:p>
    <w:p w:rsidR="0034587A" w:rsidRDefault="0034587A" w:rsidP="0034587A">
      <w:pPr>
        <w:widowControl w:val="0"/>
        <w:numPr>
          <w:ilvl w:val="0"/>
          <w:numId w:val="2"/>
        </w:numPr>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from the starting date of goods pick-up (inclusive of the pick-up day), for each day, the amount of late fee on the then-current day shall be figured out by multiplying the quantity of the goods which shall be picked up but fail to be picked up on the then-current day by the corresponding amount of late fee;</w:t>
      </w:r>
    </w:p>
    <w:p w:rsidR="0034587A" w:rsidRDefault="0034587A" w:rsidP="0034587A">
      <w:pPr>
        <w:widowControl w:val="0"/>
        <w:numPr>
          <w:ilvl w:val="0"/>
          <w:numId w:val="2"/>
        </w:numPr>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to the completion date of goods pick-up (exclusive of the pick-up day), the total amount of late fee which the owner shall pay to the factory warehouse shall be figured out on the basis of totaling the daily amount of late fee.</w:t>
      </w:r>
    </w:p>
    <w:p w:rsidR="0034587A" w:rsidRDefault="0034587A" w:rsidP="0034587A">
      <w:pPr>
        <w:adjustRightInd w:val="0"/>
        <w:snapToGrid w:val="0"/>
        <w:spacing w:before="200" w:line="288" w:lineRule="auto"/>
        <w:ind w:leftChars="607" w:left="1275"/>
        <w:rPr>
          <w:rFonts w:ascii="Times New Roman" w:hAnsi="Times New Roman" w:cs="Times New Roman"/>
          <w:sz w:val="24"/>
          <w:szCs w:val="24"/>
        </w:rPr>
      </w:pPr>
      <w:r>
        <w:rPr>
          <w:rFonts w:ascii="Times New Roman" w:hAnsi="Times New Roman" w:cs="Times New Roman"/>
          <w:sz w:val="24"/>
          <w:szCs w:val="24"/>
        </w:rPr>
        <w:t>The amount of late fee is CNY 2/Ton*Day.</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If the pick-up is carried out after expiry of the pick-up period (exclusive of the then-current day) and within nineteen (19) calendar days (inclusive of the then-current day) following the deregistration of the standard warehouse receipt (exclusive of the deregistration day), the owner shall pay the late fee to the factory warehouse, and the factory warehouse shall assume the liability related to the commodity quality, consignment time and consignment speed pursuant to the futures standards, until all the futures commodities have been consigned.</w:t>
      </w:r>
    </w:p>
    <w:p w:rsidR="0034587A" w:rsidRDefault="0034587A" w:rsidP="0034587A">
      <w:pPr>
        <w:adjustRightInd w:val="0"/>
        <w:snapToGrid w:val="0"/>
        <w:spacing w:before="200" w:line="288" w:lineRule="auto"/>
        <w:ind w:leftChars="540" w:left="1134"/>
        <w:rPr>
          <w:rFonts w:ascii="Times New Roman" w:hAnsi="Times New Roman" w:cs="Times New Roman"/>
          <w:sz w:val="24"/>
          <w:szCs w:val="24"/>
        </w:rPr>
      </w:pPr>
      <w:r>
        <w:rPr>
          <w:rFonts w:ascii="Times New Roman" w:hAnsi="Times New Roman" w:cs="Times New Roman"/>
          <w:sz w:val="24"/>
          <w:szCs w:val="24"/>
        </w:rPr>
        <w:lastRenderedPageBreak/>
        <w:t xml:space="preserve">The late fee shall be determined according to the following method: </w:t>
      </w:r>
    </w:p>
    <w:p w:rsidR="0034587A" w:rsidRDefault="0034587A" w:rsidP="0034587A">
      <w:pPr>
        <w:widowControl w:val="0"/>
        <w:numPr>
          <w:ilvl w:val="0"/>
          <w:numId w:val="3"/>
        </w:numPr>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from the date of expiration of pick-up period (inclusive of the expiration day), for each day, the amount of late fee on the then-current day shall be figured out by multiplying the quantity of the goods which shall be picked up but fail to be picked up on the then-current day by the corresponding amount of late fee; and</w:t>
      </w:r>
    </w:p>
    <w:p w:rsidR="0034587A" w:rsidRDefault="0034587A" w:rsidP="0034587A">
      <w:pPr>
        <w:widowControl w:val="0"/>
        <w:numPr>
          <w:ilvl w:val="0"/>
          <w:numId w:val="3"/>
        </w:numPr>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to the completion date of pick-up (exclusive of the pick-up day), the total amount of late fee which the owner shall pay to the factory warehouse shall be figured out on the basis of totaling the daily amount of late fee.</w:t>
      </w:r>
    </w:p>
    <w:p w:rsidR="0034587A" w:rsidRDefault="0034587A" w:rsidP="0034587A">
      <w:pPr>
        <w:adjustRightInd w:val="0"/>
        <w:snapToGrid w:val="0"/>
        <w:spacing w:before="200" w:line="288" w:lineRule="auto"/>
        <w:ind w:leftChars="607" w:left="1275"/>
        <w:rPr>
          <w:rFonts w:ascii="Times New Roman" w:hAnsi="Times New Roman" w:cs="Times New Roman"/>
          <w:sz w:val="24"/>
          <w:szCs w:val="24"/>
        </w:rPr>
      </w:pPr>
      <w:r>
        <w:rPr>
          <w:rFonts w:ascii="Times New Roman" w:hAnsi="Times New Roman" w:cs="Times New Roman"/>
          <w:sz w:val="24"/>
          <w:szCs w:val="24"/>
        </w:rPr>
        <w:t>The amount of late fee is CNY 2/Ton*Day.</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If the owner picks up the commodities at the factory warehouse after nineteen (19) calendar days (exclusive of the then-current day) following the date of deregistration of the standard warehouse receipt (exclusive of the deregistration day), the owner shall pay the late fee to the factory warehouse as calculated in the following formula, and the factory warehouse shall assume no liability related to the commodity quality, consignment time and consignment speed under the futures standards.</w:t>
      </w:r>
    </w:p>
    <w:p w:rsidR="0034587A" w:rsidRDefault="0034587A" w:rsidP="0034587A">
      <w:pPr>
        <w:adjustRightInd w:val="0"/>
        <w:snapToGrid w:val="0"/>
        <w:spacing w:before="200" w:line="288" w:lineRule="auto"/>
        <w:ind w:leftChars="607" w:left="1275"/>
        <w:rPr>
          <w:rFonts w:ascii="Times New Roman" w:hAnsi="Times New Roman" w:cs="Times New Roman"/>
          <w:sz w:val="24"/>
          <w:szCs w:val="24"/>
        </w:rPr>
      </w:pPr>
      <w:r>
        <w:rPr>
          <w:rFonts w:ascii="Times New Roman" w:hAnsi="Times New Roman" w:cs="Times New Roman"/>
          <w:sz w:val="24"/>
          <w:szCs w:val="24"/>
        </w:rPr>
        <w:t>Amount of late fee = CNY 2/Ton*Day × Quantity of all the commodities × 19 Days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the factory warehouse fails to consign commodities according to the required daily consignment speed but timely completes the consignment of all the commodities, the factory warehouse shall compensate the owner.</w:t>
      </w:r>
    </w:p>
    <w:p w:rsidR="0034587A" w:rsidRDefault="0034587A" w:rsidP="0034587A">
      <w:pPr>
        <w:adjustRightInd w:val="0"/>
        <w:snapToGrid w:val="0"/>
        <w:spacing w:before="200" w:line="288" w:lineRule="auto"/>
        <w:ind w:leftChars="607" w:left="1275"/>
        <w:rPr>
          <w:rFonts w:ascii="Times New Roman" w:hAnsi="Times New Roman" w:cs="Times New Roman"/>
          <w:sz w:val="24"/>
          <w:szCs w:val="24"/>
        </w:rPr>
      </w:pPr>
      <w:r>
        <w:rPr>
          <w:rFonts w:ascii="Times New Roman" w:hAnsi="Times New Roman" w:cs="Times New Roman"/>
          <w:sz w:val="24"/>
          <w:szCs w:val="24"/>
        </w:rPr>
        <w:t>Amount of compensation = Delivery settlement price of the last delivery month of such commodity × Quantity of the commodities which shall be, but fail to be, consigned according to the required daily consignment speed × 5%</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Where the factory warehouse fails to timely complete the consignment of all the commodities, the factory warehouse shall, in addition to the compensation provided in Article 34 herein, compensate the owner as follows: amount of compensation= Delivery settlement price of the last delivery month of such commodity × Quantity of the commodities which shall be, but fail to be, consigned according to the total quantity of the commodities × 5%. In addition, the following procedures shall apply to such failure:</w:t>
      </w:r>
    </w:p>
    <w:p w:rsidR="0034587A" w:rsidRDefault="0034587A" w:rsidP="0034587A">
      <w:pPr>
        <w:widowControl w:val="0"/>
        <w:numPr>
          <w:ilvl w:val="0"/>
          <w:numId w:val="4"/>
        </w:numPr>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lastRenderedPageBreak/>
        <w:t>the Exchange shall supply to the owner the physical commodities of the same quality and quantity of other factory warehouses or locations and bear all the costs and expenses arising out of or in connection with the adjustment of the delivery site and the delayed consignment; or</w:t>
      </w:r>
    </w:p>
    <w:p w:rsidR="0034587A" w:rsidRDefault="0034587A" w:rsidP="0034587A">
      <w:pPr>
        <w:widowControl w:val="0"/>
        <w:numPr>
          <w:ilvl w:val="0"/>
          <w:numId w:val="4"/>
        </w:numPr>
        <w:adjustRightInd w:val="0"/>
        <w:snapToGrid w:val="0"/>
        <w:spacing w:before="200" w:line="288" w:lineRule="auto"/>
        <w:ind w:left="1826" w:hanging="567"/>
        <w:rPr>
          <w:rFonts w:ascii="Times New Roman" w:hAnsi="Times New Roman" w:cs="Times New Roman"/>
          <w:sz w:val="24"/>
          <w:szCs w:val="24"/>
        </w:rPr>
      </w:pPr>
      <w:r>
        <w:rPr>
          <w:rFonts w:ascii="Times New Roman" w:hAnsi="Times New Roman" w:cs="Times New Roman"/>
          <w:sz w:val="24"/>
          <w:szCs w:val="24"/>
        </w:rPr>
        <w:t>where the Exchange fails to supply the above commodities, the Exchange shall refund to the owner the payment of the commodities and compensate the owner.</w:t>
      </w:r>
    </w:p>
    <w:p w:rsidR="0034587A" w:rsidRDefault="0034587A" w:rsidP="0034587A">
      <w:pPr>
        <w:adjustRightInd w:val="0"/>
        <w:snapToGrid w:val="0"/>
        <w:spacing w:before="200" w:line="288" w:lineRule="auto"/>
        <w:ind w:leftChars="607" w:left="1275"/>
        <w:rPr>
          <w:rFonts w:ascii="Times New Roman" w:hAnsi="Times New Roman" w:cs="Times New Roman"/>
          <w:sz w:val="24"/>
          <w:szCs w:val="24"/>
        </w:rPr>
      </w:pPr>
      <w:r>
        <w:rPr>
          <w:rFonts w:ascii="Times New Roman" w:hAnsi="Times New Roman" w:cs="Times New Roman"/>
          <w:sz w:val="24"/>
          <w:szCs w:val="24"/>
        </w:rPr>
        <w:t>Amount of refunded payment of commodities and compensation = Delivery settlement price of the last delivery month of such commodity × Quantity of the commodities which shall be, but fail to be, consigned according to the total quantity of the commodities × 120%</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In the event of any violation by the factory warehouse described in Article 34 or 35 herein, the compensation shall firstly be paid to the owner by the factory warehouse. Where the factory warehouse fails to pay such compensation or the amount of compensation is insufficient, it shall be handled by the Exchange according to the relevant provisions of the </w:t>
      </w:r>
      <w:r>
        <w:rPr>
          <w:rFonts w:ascii="Times New Roman" w:hAnsi="Times New Roman" w:cs="Times New Roman"/>
          <w:i/>
          <w:sz w:val="24"/>
          <w:szCs w:val="24"/>
        </w:rPr>
        <w:t>Measures for Standard Warehouse Receipt Management of Dalian Commodity Exchange</w:t>
      </w:r>
      <w:r>
        <w:rPr>
          <w:rFonts w:ascii="Times New Roman" w:hAnsi="Times New Roman" w:cs="Times New Roman"/>
          <w:sz w:val="24"/>
          <w:szCs w:val="24"/>
        </w:rPr>
        <w:t>.</w:t>
      </w:r>
    </w:p>
    <w:p w:rsidR="0034587A" w:rsidRDefault="0034587A" w:rsidP="0034587A">
      <w:pPr>
        <w:adjustRightInd w:val="0"/>
        <w:snapToGrid w:val="0"/>
        <w:spacing w:before="200" w:line="288" w:lineRule="auto"/>
        <w:jc w:val="center"/>
        <w:rPr>
          <w:rFonts w:ascii="Times New Roman" w:hAnsi="Times New Roman" w:cs="Times New Roman"/>
          <w:b/>
          <w:sz w:val="24"/>
          <w:szCs w:val="24"/>
        </w:rPr>
      </w:pPr>
      <w:r>
        <w:rPr>
          <w:rFonts w:ascii="Times New Roman" w:hAnsi="Times New Roman" w:cs="Times New Roman"/>
          <w:b/>
          <w:sz w:val="24"/>
          <w:szCs w:val="24"/>
        </w:rPr>
        <w:t>Chapter IV  Supplementary Provisions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 xml:space="preserve">Any violation of the Detailed Rules shall be handled by the Exchange subject to the applicable provisions of the </w:t>
      </w:r>
      <w:r>
        <w:rPr>
          <w:rFonts w:ascii="Times New Roman" w:hAnsi="Times New Roman" w:cs="Times New Roman"/>
          <w:i/>
          <w:sz w:val="24"/>
          <w:szCs w:val="24"/>
        </w:rPr>
        <w:t xml:space="preserve">Measures against Rule Violations of Dalian Commodity Exchange </w:t>
      </w:r>
      <w:r>
        <w:rPr>
          <w:rFonts w:ascii="Times New Roman" w:hAnsi="Times New Roman" w:cs="Times New Roman"/>
          <w:sz w:val="24"/>
          <w:szCs w:val="24"/>
        </w:rPr>
        <w:t>and other rules.</w:t>
      </w:r>
    </w:p>
    <w:p w:rsidR="0034587A" w:rsidRDefault="0034587A" w:rsidP="0034587A">
      <w:pPr>
        <w:widowControl w:val="0"/>
        <w:numPr>
          <w:ilvl w:val="0"/>
          <w:numId w:val="1"/>
        </w:numPr>
        <w:adjustRightInd w:val="0"/>
        <w:snapToGrid w:val="0"/>
        <w:spacing w:before="200" w:line="288" w:lineRule="auto"/>
        <w:ind w:left="1259" w:hanging="1259"/>
        <w:rPr>
          <w:rFonts w:ascii="Times New Roman" w:hAnsi="Times New Roman" w:cs="Times New Roman"/>
          <w:sz w:val="24"/>
          <w:szCs w:val="24"/>
        </w:rPr>
      </w:pPr>
      <w:r>
        <w:rPr>
          <w:rFonts w:ascii="Times New Roman" w:hAnsi="Times New Roman" w:cs="Times New Roman"/>
          <w:sz w:val="24"/>
          <w:szCs w:val="24"/>
        </w:rPr>
        <w:t>The Exchange reserves the right to interpret the Detailed Rules.</w:t>
      </w:r>
    </w:p>
    <w:p w:rsidR="0034587A" w:rsidRDefault="0034587A" w:rsidP="0034587A">
      <w:pPr>
        <w:widowControl w:val="0"/>
        <w:numPr>
          <w:ilvl w:val="0"/>
          <w:numId w:val="1"/>
        </w:numPr>
        <w:adjustRightInd w:val="0"/>
        <w:snapToGrid w:val="0"/>
        <w:spacing w:before="200" w:line="288" w:lineRule="auto"/>
        <w:rPr>
          <w:rFonts w:ascii="Times New Roman" w:hAnsi="Times New Roman" w:cs="Times New Roman"/>
          <w:b/>
          <w:sz w:val="24"/>
          <w:szCs w:val="24"/>
        </w:rPr>
      </w:pPr>
      <w:r>
        <w:rPr>
          <w:rFonts w:ascii="Times New Roman" w:hAnsi="Times New Roman" w:cs="Times New Roman"/>
          <w:sz w:val="24"/>
          <w:szCs w:val="24"/>
        </w:rPr>
        <w:t>The Detailed Rules shall come into force on July 1, 2019.</w:t>
      </w:r>
    </w:p>
    <w:p w:rsidR="0034587A" w:rsidRDefault="0034587A" w:rsidP="0034587A">
      <w:pPr>
        <w:adjustRightInd w:val="0"/>
        <w:snapToGrid w:val="0"/>
        <w:spacing w:before="200" w:line="288" w:lineRule="auto"/>
        <w:rPr>
          <w:rFonts w:ascii="Times New Roman" w:hAnsi="Times New Roman" w:cs="Times New Roman"/>
          <w:b/>
          <w:sz w:val="24"/>
          <w:szCs w:val="24"/>
        </w:rPr>
      </w:pPr>
    </w:p>
    <w:p w:rsidR="0034587A" w:rsidRDefault="0034587A" w:rsidP="0034587A">
      <w:pPr>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 xml:space="preserve">Annex 1: Soybean Oil Delivery Quality Standard of Dalian Commodity Exchange (F/DCE Y002-2020) </w:t>
      </w:r>
    </w:p>
    <w:p w:rsidR="0034587A" w:rsidRDefault="0034587A" w:rsidP="0034587A">
      <w:pPr>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Annex 2: List of Delivery Warehouses Designated for Soybean Oil of Dalian Commodity Exchange</w:t>
      </w:r>
    </w:p>
    <w:p w:rsidR="0034587A" w:rsidRDefault="0034587A" w:rsidP="0034587A">
      <w:pPr>
        <w:adjustRightInd w:val="0"/>
        <w:snapToGrid w:val="0"/>
        <w:spacing w:before="200" w:line="288" w:lineRule="auto"/>
        <w:rPr>
          <w:rFonts w:ascii="Times New Roman" w:hAnsi="Times New Roman" w:cs="Times New Roman"/>
          <w:sz w:val="24"/>
          <w:szCs w:val="24"/>
        </w:rPr>
      </w:pPr>
      <w:r>
        <w:rPr>
          <w:rFonts w:ascii="Times New Roman" w:hAnsi="Times New Roman" w:cs="Times New Roman"/>
          <w:sz w:val="24"/>
          <w:szCs w:val="24"/>
        </w:rPr>
        <w:t xml:space="preserve">Annex 3:  </w:t>
      </w:r>
      <w:r>
        <w:rPr>
          <w:rFonts w:ascii="Times New Roman" w:hAnsi="Times New Roman" w:cs="Times New Roman"/>
          <w:bCs/>
          <w:sz w:val="24"/>
          <w:szCs w:val="24"/>
        </w:rPr>
        <w:t>Dynamic Premium and Discount Standard for Soybean Oil</w:t>
      </w:r>
      <w:r>
        <w:rPr>
          <w:rFonts w:ascii="Times New Roman" w:hAnsi="Times New Roman" w:cs="Times New Roman"/>
          <w:sz w:val="24"/>
          <w:szCs w:val="24"/>
        </w:rPr>
        <w:t xml:space="preserve"> </w:t>
      </w:r>
      <w:r>
        <w:rPr>
          <w:rFonts w:ascii="Times New Roman" w:hAnsi="Times New Roman" w:cs="Times New Roman"/>
          <w:bCs/>
          <w:sz w:val="24"/>
          <w:szCs w:val="24"/>
        </w:rPr>
        <w:t>Futures on Dalian Commodity Exchange</w:t>
      </w:r>
    </w:p>
    <w:p w:rsidR="0034587A" w:rsidRDefault="0034587A" w:rsidP="0034587A">
      <w:pPr>
        <w:shd w:val="clear" w:color="auto" w:fill="FFFFFF"/>
        <w:adjustRightInd w:val="0"/>
        <w:snapToGrid w:val="0"/>
        <w:spacing w:before="200" w:line="288" w:lineRule="auto"/>
        <w:rPr>
          <w:rFonts w:ascii="Times New Roman" w:hAnsi="Times New Roman" w:cs="Times New Roman"/>
          <w:b/>
          <w:i/>
          <w:sz w:val="24"/>
          <w:szCs w:val="24"/>
        </w:rPr>
      </w:pPr>
    </w:p>
    <w:p w:rsidR="0034587A" w:rsidRDefault="0034587A" w:rsidP="0034587A">
      <w:pPr>
        <w:shd w:val="clear" w:color="auto" w:fill="FFFFFF"/>
        <w:adjustRightInd w:val="0"/>
        <w:snapToGrid w:val="0"/>
        <w:spacing w:before="200" w:line="288" w:lineRule="auto"/>
        <w:rPr>
          <w:rFonts w:ascii="Times New Roman" w:hAnsi="Times New Roman" w:cs="Times New Roman"/>
          <w:color w:val="333333"/>
          <w:sz w:val="24"/>
          <w:szCs w:val="24"/>
        </w:rPr>
      </w:pPr>
      <w:r>
        <w:rPr>
          <w:rFonts w:ascii="Times New Roman" w:hAnsi="Times New Roman" w:cs="Times New Roman"/>
          <w:b/>
          <w:i/>
          <w:sz w:val="24"/>
          <w:szCs w:val="24"/>
        </w:rPr>
        <w:lastRenderedPageBreak/>
        <w:t>Disclaimer</w:t>
      </w:r>
      <w:r>
        <w:rPr>
          <w:rFonts w:ascii="Times New Roman" w:hAnsi="Times New Roman" w:cs="Times New Roman"/>
          <w:i/>
          <w:sz w:val="24"/>
          <w:szCs w:val="24"/>
        </w:rPr>
        <w:t>: This English translation may be used for reference only. In cases there is any discrepancy between the English version and the original Chinese version, the original Chinese version shall prevail. Dalian Commodity Exchange may change or update this English translation without any prior notice and shall accept no responsibility or liability for damage or loss caused by any error, inaccuracy, misunderstanding, or change with regard to this English translation.</w:t>
      </w:r>
    </w:p>
    <w:p w:rsidR="00F711EB" w:rsidRDefault="00F711EB">
      <w:pPr>
        <w:jc w:val="left"/>
        <w:rPr>
          <w:rFonts w:ascii="Times New Roman" w:hAnsi="Times New Roman" w:cs="Times New Roman"/>
          <w:b/>
          <w:sz w:val="24"/>
          <w:szCs w:val="24"/>
        </w:rPr>
      </w:pPr>
      <w:r>
        <w:rPr>
          <w:rFonts w:ascii="Times New Roman" w:hAnsi="Times New Roman" w:cs="Times New Roman"/>
          <w:b/>
          <w:sz w:val="24"/>
          <w:szCs w:val="24"/>
        </w:rPr>
        <w:br w:type="page"/>
      </w:r>
    </w:p>
    <w:p w:rsidR="00F711EB" w:rsidRDefault="00F711EB" w:rsidP="00F711EB">
      <w:pPr>
        <w:spacing w:before="200" w:line="288" w:lineRule="auto"/>
        <w:jc w:val="left"/>
        <w:outlineLvl w:val="2"/>
        <w:rPr>
          <w:rFonts w:ascii="Times New Roman" w:hAnsi="Times New Roman" w:cs="Times New Roman"/>
          <w:sz w:val="24"/>
          <w:szCs w:val="24"/>
        </w:rPr>
      </w:pPr>
      <w:r>
        <w:rPr>
          <w:rFonts w:ascii="Times New Roman" w:hAnsi="Times New Roman"/>
          <w:b/>
          <w:bCs/>
          <w:sz w:val="24"/>
          <w:szCs w:val="24"/>
        </w:rPr>
        <w:lastRenderedPageBreak/>
        <w:t>Annex 1</w:t>
      </w:r>
    </w:p>
    <w:p w:rsidR="00F711EB" w:rsidRDefault="00F711EB" w:rsidP="00F711EB">
      <w:pPr>
        <w:adjustRightInd w:val="0"/>
        <w:snapToGrid w:val="0"/>
        <w:spacing w:before="200" w:line="288" w:lineRule="auto"/>
        <w:jc w:val="center"/>
        <w:rPr>
          <w:rFonts w:ascii="Times New Roman" w:hAnsi="Times New Roman"/>
          <w:b/>
          <w:bCs/>
          <w:sz w:val="24"/>
          <w:szCs w:val="24"/>
        </w:rPr>
      </w:pPr>
      <w:r>
        <w:rPr>
          <w:rFonts w:ascii="Times New Roman" w:hAnsi="Times New Roman"/>
          <w:b/>
          <w:bCs/>
          <w:sz w:val="24"/>
          <w:szCs w:val="24"/>
        </w:rPr>
        <w:t>Soybean Oil Delivery Quality Standard of Dalian Commodity Exchange ("DCE")</w:t>
      </w:r>
    </w:p>
    <w:p w:rsidR="00F711EB" w:rsidRDefault="00F711EB" w:rsidP="00F711EB">
      <w:pPr>
        <w:adjustRightInd w:val="0"/>
        <w:snapToGrid w:val="0"/>
        <w:spacing w:before="200" w:line="288" w:lineRule="auto"/>
        <w:jc w:val="center"/>
        <w:rPr>
          <w:rFonts w:ascii="Times New Roman" w:hAnsi="Times New Roman"/>
          <w:kern w:val="2"/>
          <w:sz w:val="24"/>
          <w:szCs w:val="24"/>
        </w:rPr>
      </w:pPr>
      <w:r>
        <w:rPr>
          <w:rFonts w:ascii="Times New Roman" w:hAnsi="Times New Roman"/>
          <w:sz w:val="24"/>
          <w:szCs w:val="24"/>
        </w:rPr>
        <w:t>(F/DCE Y002-2020)</w:t>
      </w:r>
    </w:p>
    <w:p w:rsidR="00F711EB" w:rsidRDefault="00F711EB" w:rsidP="00F711EB">
      <w:pPr>
        <w:spacing w:before="200" w:line="288" w:lineRule="auto"/>
        <w:jc w:val="center"/>
        <w:rPr>
          <w:rFonts w:ascii="Times New Roman" w:hAnsi="Times New Roman"/>
          <w:sz w:val="24"/>
          <w:szCs w:val="24"/>
        </w:rPr>
      </w:pPr>
      <w:r>
        <w:rPr>
          <w:rFonts w:ascii="Times New Roman" w:hAnsi="Times New Roman"/>
          <w:sz w:val="24"/>
          <w:szCs w:val="24"/>
        </w:rPr>
        <w:t xml:space="preserve"> </w:t>
      </w:r>
    </w:p>
    <w:p w:rsidR="00F711EB" w:rsidRDefault="00F711EB" w:rsidP="00F711EB">
      <w:pPr>
        <w:numPr>
          <w:ilvl w:val="0"/>
          <w:numId w:val="5"/>
        </w:numPr>
        <w:shd w:val="clear" w:color="auto" w:fill="FFFFFF"/>
        <w:snapToGrid w:val="0"/>
        <w:spacing w:before="200" w:line="288" w:lineRule="auto"/>
        <w:rPr>
          <w:rFonts w:ascii="Times New Roman" w:hAnsi="Times New Roman"/>
          <w:color w:val="333333"/>
          <w:sz w:val="24"/>
          <w:szCs w:val="24"/>
        </w:rPr>
      </w:pPr>
      <w:r>
        <w:rPr>
          <w:rFonts w:ascii="Times New Roman" w:hAnsi="Times New Roman"/>
          <w:b/>
          <w:bCs/>
          <w:color w:val="333333"/>
          <w:sz w:val="24"/>
          <w:szCs w:val="24"/>
        </w:rPr>
        <w:t>Main content and applicable scope</w:t>
      </w:r>
    </w:p>
    <w:p w:rsidR="00F711EB" w:rsidRDefault="00F711EB" w:rsidP="00F711EB">
      <w:pPr>
        <w:numPr>
          <w:ilvl w:val="1"/>
          <w:numId w:val="6"/>
        </w:numPr>
        <w:shd w:val="clear" w:color="auto" w:fill="FFFFFF"/>
        <w:snapToGrid w:val="0"/>
        <w:spacing w:before="200" w:line="288" w:lineRule="auto"/>
        <w:ind w:left="567"/>
        <w:rPr>
          <w:rFonts w:ascii="Times New Roman" w:hAnsi="Times New Roman"/>
          <w:color w:val="333333"/>
          <w:sz w:val="24"/>
          <w:szCs w:val="24"/>
        </w:rPr>
      </w:pPr>
      <w:r>
        <w:rPr>
          <w:rFonts w:ascii="Times New Roman" w:hAnsi="Times New Roman"/>
          <w:color w:val="333333"/>
          <w:sz w:val="24"/>
          <w:szCs w:val="24"/>
        </w:rPr>
        <w:t>The standard herein (the "</w:t>
      </w:r>
      <w:r>
        <w:rPr>
          <w:rFonts w:ascii="Times New Roman" w:hAnsi="Times New Roman"/>
          <w:b/>
          <w:bCs/>
          <w:color w:val="333333"/>
          <w:sz w:val="24"/>
          <w:szCs w:val="24"/>
        </w:rPr>
        <w:t>Standard</w:t>
      </w:r>
      <w:r>
        <w:rPr>
          <w:rFonts w:ascii="Times New Roman" w:hAnsi="Times New Roman"/>
          <w:color w:val="333333"/>
          <w:sz w:val="24"/>
          <w:szCs w:val="24"/>
        </w:rPr>
        <w:t>") stipulates the quality standards and classification standards for soybean oil delivered at DCE.</w:t>
      </w:r>
    </w:p>
    <w:p w:rsidR="00F711EB" w:rsidRDefault="00F711EB" w:rsidP="00F711EB">
      <w:pPr>
        <w:numPr>
          <w:ilvl w:val="1"/>
          <w:numId w:val="6"/>
        </w:numPr>
        <w:shd w:val="clear" w:color="auto" w:fill="FFFFFF"/>
        <w:snapToGrid w:val="0"/>
        <w:spacing w:before="200" w:line="288" w:lineRule="auto"/>
        <w:ind w:left="567"/>
        <w:rPr>
          <w:rFonts w:ascii="Times New Roman" w:hAnsi="Times New Roman"/>
          <w:color w:val="333333"/>
          <w:sz w:val="24"/>
          <w:szCs w:val="24"/>
        </w:rPr>
      </w:pPr>
      <w:r>
        <w:rPr>
          <w:rFonts w:ascii="Times New Roman" w:hAnsi="Times New Roman"/>
          <w:color w:val="333333"/>
          <w:sz w:val="24"/>
          <w:szCs w:val="24"/>
        </w:rPr>
        <w:t xml:space="preserve">Crude soybean oil as stated in the soybean oil futures contract of DCE refers to soybean oil produced from soybeans and is not suitable for direct eating by human, with its places of production unrestricted. </w:t>
      </w:r>
    </w:p>
    <w:p w:rsidR="00F711EB" w:rsidRDefault="00F711EB" w:rsidP="00F711EB">
      <w:pPr>
        <w:numPr>
          <w:ilvl w:val="1"/>
          <w:numId w:val="6"/>
        </w:numPr>
        <w:shd w:val="clear" w:color="auto" w:fill="FFFFFF"/>
        <w:snapToGrid w:val="0"/>
        <w:spacing w:before="200" w:line="288" w:lineRule="auto"/>
        <w:ind w:left="567"/>
        <w:rPr>
          <w:rFonts w:ascii="Times New Roman" w:hAnsi="Times New Roman"/>
          <w:color w:val="333333"/>
          <w:sz w:val="24"/>
          <w:szCs w:val="24"/>
        </w:rPr>
      </w:pPr>
      <w:r>
        <w:rPr>
          <w:rFonts w:ascii="Times New Roman" w:hAnsi="Times New Roman"/>
          <w:color w:val="333333"/>
          <w:sz w:val="24"/>
          <w:szCs w:val="24"/>
        </w:rPr>
        <w:t>The Standard applies to standard products delivered under the soybean oil futures contract of DCE.</w:t>
      </w:r>
    </w:p>
    <w:p w:rsidR="00F711EB" w:rsidRDefault="00F711EB" w:rsidP="00F711EB">
      <w:pPr>
        <w:numPr>
          <w:ilvl w:val="0"/>
          <w:numId w:val="5"/>
        </w:numPr>
        <w:shd w:val="clear" w:color="auto" w:fill="FFFFFF"/>
        <w:snapToGrid w:val="0"/>
        <w:spacing w:before="200" w:line="288" w:lineRule="auto"/>
        <w:rPr>
          <w:rFonts w:ascii="Times New Roman" w:hAnsi="Times New Roman"/>
          <w:color w:val="333333"/>
          <w:sz w:val="24"/>
          <w:szCs w:val="24"/>
        </w:rPr>
      </w:pPr>
      <w:r>
        <w:rPr>
          <w:rFonts w:ascii="Times New Roman" w:hAnsi="Times New Roman"/>
          <w:b/>
          <w:bCs/>
          <w:color w:val="333333"/>
          <w:sz w:val="24"/>
          <w:szCs w:val="24"/>
        </w:rPr>
        <w:t>Cited rules and standards</w:t>
      </w:r>
    </w:p>
    <w:p w:rsidR="00F711EB" w:rsidRDefault="00F711EB" w:rsidP="00F711EB">
      <w:pPr>
        <w:shd w:val="clear" w:color="auto" w:fill="FFFFFF"/>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The provisions of the following documents are incorporated as the provisions of the Standard by reference. For those cited documents noted with dates, all of their following amendments (excluding corrections) and revised versions shall not be applied to the Standard; for those without noted dates, their latest versions shall be applied to the Standard.</w:t>
      </w:r>
    </w:p>
    <w:p w:rsidR="00F711EB" w:rsidRDefault="00F711EB" w:rsidP="00F711EB">
      <w:pPr>
        <w:shd w:val="clear" w:color="auto" w:fill="FFFFFF"/>
        <w:snapToGrid w:val="0"/>
        <w:spacing w:before="200" w:line="288" w:lineRule="auto"/>
        <w:rPr>
          <w:rFonts w:ascii="Times New Roman" w:hAnsi="Times New Roman"/>
          <w:i/>
          <w:iCs/>
          <w:color w:val="333333"/>
          <w:sz w:val="24"/>
          <w:szCs w:val="24"/>
        </w:rPr>
      </w:pPr>
      <w:r>
        <w:rPr>
          <w:rFonts w:ascii="Times New Roman" w:hAnsi="Times New Roman"/>
          <w:i/>
          <w:iCs/>
          <w:sz w:val="24"/>
          <w:szCs w:val="24"/>
        </w:rPr>
        <w:t>GB/T 1535-2017</w:t>
      </w:r>
      <w:r>
        <w:rPr>
          <w:rFonts w:ascii="Times New Roman" w:hAnsi="Times New Roman"/>
          <w:sz w:val="24"/>
          <w:szCs w:val="24"/>
        </w:rPr>
        <w:t xml:space="preserve"> </w:t>
      </w:r>
      <w:r>
        <w:rPr>
          <w:rFonts w:ascii="Times New Roman" w:hAnsi="Times New Roman"/>
          <w:i/>
          <w:iCs/>
          <w:color w:val="333333"/>
          <w:sz w:val="24"/>
          <w:szCs w:val="24"/>
        </w:rPr>
        <w:t>Soybean Oil</w:t>
      </w:r>
    </w:p>
    <w:p w:rsidR="00F711EB" w:rsidRDefault="00F711EB" w:rsidP="00F711EB">
      <w:pPr>
        <w:shd w:val="clear" w:color="auto" w:fill="FFFFFF"/>
        <w:snapToGrid w:val="0"/>
        <w:spacing w:before="200" w:line="288" w:lineRule="auto"/>
        <w:rPr>
          <w:rFonts w:ascii="Times New Roman" w:hAnsi="Times New Roman"/>
          <w:i/>
          <w:iCs/>
          <w:color w:val="333333"/>
          <w:sz w:val="24"/>
          <w:szCs w:val="24"/>
        </w:rPr>
      </w:pPr>
      <w:r>
        <w:rPr>
          <w:rFonts w:ascii="Times New Roman" w:hAnsi="Times New Roman"/>
          <w:i/>
          <w:iCs/>
          <w:color w:val="333333"/>
          <w:sz w:val="24"/>
          <w:szCs w:val="24"/>
        </w:rPr>
        <w:t>GB/T 5537-2008 Inspection of Grain and Oil</w:t>
      </w:r>
      <w:r>
        <w:rPr>
          <w:rFonts w:ascii="Times New Roman" w:hAnsi="Times New Roman" w:hint="eastAsia"/>
          <w:i/>
          <w:iCs/>
          <w:color w:val="333333"/>
          <w:sz w:val="24"/>
          <w:szCs w:val="24"/>
        </w:rPr>
        <w:t>s</w:t>
      </w:r>
      <w:r>
        <w:rPr>
          <w:rFonts w:ascii="Times New Roman" w:hAnsi="Times New Roman"/>
          <w:i/>
          <w:iCs/>
          <w:color w:val="333333"/>
          <w:sz w:val="24"/>
          <w:szCs w:val="24"/>
        </w:rPr>
        <w:t xml:space="preserve"> - Determination of Phosphatide Content</w:t>
      </w:r>
    </w:p>
    <w:p w:rsidR="00F711EB" w:rsidRDefault="00F711EB" w:rsidP="00F711EB">
      <w:pPr>
        <w:numPr>
          <w:ilvl w:val="0"/>
          <w:numId w:val="5"/>
        </w:numPr>
        <w:shd w:val="clear" w:color="auto" w:fill="FFFFFF"/>
        <w:snapToGrid w:val="0"/>
        <w:spacing w:before="200" w:line="288" w:lineRule="auto"/>
        <w:rPr>
          <w:rFonts w:ascii="Times New Roman" w:hAnsi="Times New Roman"/>
          <w:color w:val="333333"/>
          <w:sz w:val="24"/>
          <w:szCs w:val="24"/>
        </w:rPr>
      </w:pPr>
      <w:r>
        <w:rPr>
          <w:rFonts w:ascii="Times New Roman" w:hAnsi="Times New Roman"/>
          <w:b/>
          <w:bCs/>
          <w:color w:val="333333"/>
          <w:sz w:val="24"/>
          <w:szCs w:val="24"/>
        </w:rPr>
        <w:t>Terms and definitions</w:t>
      </w:r>
    </w:p>
    <w:p w:rsidR="00F711EB" w:rsidRDefault="00F711EB" w:rsidP="00F711EB">
      <w:pPr>
        <w:numPr>
          <w:ilvl w:val="0"/>
          <w:numId w:val="7"/>
        </w:numPr>
        <w:shd w:val="clear" w:color="auto" w:fill="FFFFFF"/>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 xml:space="preserve">Phosphatide: subject to the relevant rules of </w:t>
      </w:r>
      <w:r>
        <w:rPr>
          <w:rFonts w:ascii="Times New Roman" w:hAnsi="Times New Roman"/>
          <w:i/>
          <w:iCs/>
          <w:color w:val="333333"/>
          <w:sz w:val="24"/>
          <w:szCs w:val="24"/>
        </w:rPr>
        <w:t>GB/T 5537-2008.</w:t>
      </w:r>
    </w:p>
    <w:p w:rsidR="00F711EB" w:rsidRDefault="00F711EB" w:rsidP="00F711EB">
      <w:pPr>
        <w:numPr>
          <w:ilvl w:val="0"/>
          <w:numId w:val="7"/>
        </w:numPr>
        <w:shd w:val="clear" w:color="auto" w:fill="FFFFFF"/>
        <w:snapToGrid w:val="0"/>
        <w:spacing w:before="200" w:line="288" w:lineRule="auto"/>
        <w:ind w:left="567" w:hanging="567"/>
        <w:rPr>
          <w:rFonts w:ascii="Times New Roman" w:hAnsi="Times New Roman"/>
          <w:color w:val="333333"/>
          <w:sz w:val="24"/>
          <w:szCs w:val="24"/>
        </w:rPr>
      </w:pPr>
      <w:r>
        <w:rPr>
          <w:rFonts w:ascii="Times New Roman" w:hAnsi="Times New Roman"/>
          <w:color w:val="333333"/>
          <w:sz w:val="24"/>
          <w:szCs w:val="24"/>
        </w:rPr>
        <w:t xml:space="preserve">Other terms and definitions: subject to the relevant rules of </w:t>
      </w:r>
      <w:r>
        <w:rPr>
          <w:rFonts w:ascii="Times New Roman" w:hAnsi="Times New Roman"/>
          <w:i/>
          <w:iCs/>
          <w:color w:val="333333"/>
          <w:sz w:val="24"/>
          <w:szCs w:val="24"/>
        </w:rPr>
        <w:t>GB/T 1535-2017.</w:t>
      </w:r>
    </w:p>
    <w:p w:rsidR="00F711EB" w:rsidRDefault="00F711EB" w:rsidP="00F711EB">
      <w:pPr>
        <w:numPr>
          <w:ilvl w:val="0"/>
          <w:numId w:val="5"/>
        </w:numPr>
        <w:shd w:val="clear" w:color="auto" w:fill="FFFFFF"/>
        <w:snapToGrid w:val="0"/>
        <w:spacing w:before="200" w:line="288" w:lineRule="auto"/>
        <w:rPr>
          <w:rFonts w:ascii="Times New Roman" w:hAnsi="Times New Roman"/>
          <w:b/>
          <w:bCs/>
          <w:color w:val="333333"/>
          <w:sz w:val="24"/>
          <w:szCs w:val="24"/>
        </w:rPr>
      </w:pPr>
      <w:r>
        <w:rPr>
          <w:rFonts w:ascii="Times New Roman" w:hAnsi="Times New Roman"/>
          <w:b/>
          <w:bCs/>
          <w:color w:val="333333"/>
          <w:sz w:val="24"/>
          <w:szCs w:val="24"/>
        </w:rPr>
        <w:t>Basic composition and main physical parameters</w:t>
      </w:r>
    </w:p>
    <w:p w:rsidR="00F711EB" w:rsidRDefault="00F711EB" w:rsidP="00F711EB">
      <w:pPr>
        <w:shd w:val="clear" w:color="auto" w:fill="FFFFFF"/>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Subject to the relevant rules of</w:t>
      </w:r>
      <w:r>
        <w:rPr>
          <w:rFonts w:ascii="Times New Roman" w:hAnsi="Times New Roman"/>
          <w:sz w:val="24"/>
          <w:szCs w:val="24"/>
        </w:rPr>
        <w:t xml:space="preserve"> </w:t>
      </w:r>
      <w:r>
        <w:rPr>
          <w:rFonts w:ascii="Times New Roman" w:hAnsi="Times New Roman"/>
          <w:i/>
          <w:iCs/>
          <w:color w:val="333333"/>
          <w:sz w:val="24"/>
          <w:szCs w:val="24"/>
        </w:rPr>
        <w:t>GB/T 1535-2017.</w:t>
      </w:r>
    </w:p>
    <w:p w:rsidR="00F711EB" w:rsidRDefault="00F711EB" w:rsidP="00F711EB">
      <w:pPr>
        <w:numPr>
          <w:ilvl w:val="0"/>
          <w:numId w:val="5"/>
        </w:numPr>
        <w:shd w:val="clear" w:color="auto" w:fill="FFFFFF"/>
        <w:snapToGrid w:val="0"/>
        <w:spacing w:before="200" w:line="288" w:lineRule="auto"/>
        <w:rPr>
          <w:rFonts w:ascii="Times New Roman" w:hAnsi="Times New Roman"/>
          <w:color w:val="333333"/>
          <w:sz w:val="24"/>
          <w:szCs w:val="24"/>
        </w:rPr>
      </w:pPr>
      <w:r>
        <w:rPr>
          <w:rFonts w:ascii="Times New Roman" w:hAnsi="Times New Roman"/>
          <w:b/>
          <w:bCs/>
          <w:color w:val="333333"/>
          <w:sz w:val="24"/>
          <w:szCs w:val="24"/>
        </w:rPr>
        <w:t>Quality requirements</w:t>
      </w:r>
    </w:p>
    <w:p w:rsidR="00F711EB" w:rsidRDefault="00F711EB" w:rsidP="00F711EB">
      <w:pPr>
        <w:numPr>
          <w:ilvl w:val="0"/>
          <w:numId w:val="8"/>
        </w:numPr>
        <w:shd w:val="clear" w:color="auto" w:fill="FFFFFF"/>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Quality index:</w:t>
      </w:r>
    </w:p>
    <w:tbl>
      <w:tblPr>
        <w:tblW w:w="779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4820"/>
      </w:tblGrid>
      <w:tr w:rsidR="00F711EB" w:rsidTr="00F711EB">
        <w:tc>
          <w:tcPr>
            <w:tcW w:w="2977" w:type="dxa"/>
            <w:tcBorders>
              <w:top w:val="single" w:sz="4" w:space="0" w:color="auto"/>
              <w:left w:val="single" w:sz="4" w:space="0" w:color="auto"/>
              <w:bottom w:val="single" w:sz="4" w:space="0" w:color="auto"/>
              <w:right w:val="single" w:sz="4" w:space="0" w:color="auto"/>
            </w:tcBorders>
            <w:hideMark/>
          </w:tcPr>
          <w:p w:rsidR="00F711EB" w:rsidRDefault="00F711EB">
            <w:pPr>
              <w:snapToGrid w:val="0"/>
              <w:spacing w:before="200" w:line="288" w:lineRule="auto"/>
              <w:rPr>
                <w:rFonts w:ascii="Times New Roman" w:hAnsi="Times New Roman"/>
                <w:b/>
                <w:bCs/>
                <w:color w:val="333333"/>
                <w:sz w:val="24"/>
                <w:szCs w:val="24"/>
              </w:rPr>
            </w:pPr>
            <w:r>
              <w:rPr>
                <w:rFonts w:ascii="Times New Roman" w:hAnsi="Times New Roman"/>
                <w:b/>
                <w:bCs/>
                <w:color w:val="333333"/>
                <w:sz w:val="24"/>
                <w:szCs w:val="24"/>
              </w:rPr>
              <w:t>Item</w:t>
            </w:r>
          </w:p>
        </w:tc>
        <w:tc>
          <w:tcPr>
            <w:tcW w:w="4820" w:type="dxa"/>
            <w:tcBorders>
              <w:top w:val="single" w:sz="4" w:space="0" w:color="auto"/>
              <w:left w:val="nil"/>
              <w:bottom w:val="single" w:sz="4" w:space="0" w:color="auto"/>
              <w:right w:val="single" w:sz="4" w:space="0" w:color="auto"/>
            </w:tcBorders>
            <w:hideMark/>
          </w:tcPr>
          <w:p w:rsidR="00F711EB" w:rsidRDefault="00F711EB">
            <w:pPr>
              <w:snapToGrid w:val="0"/>
              <w:spacing w:before="200" w:line="288" w:lineRule="auto"/>
              <w:rPr>
                <w:rFonts w:ascii="Times New Roman" w:hAnsi="Times New Roman"/>
                <w:b/>
                <w:bCs/>
                <w:color w:val="333333"/>
                <w:sz w:val="24"/>
                <w:szCs w:val="24"/>
              </w:rPr>
            </w:pPr>
            <w:r>
              <w:rPr>
                <w:rFonts w:ascii="Times New Roman" w:hAnsi="Times New Roman"/>
                <w:b/>
                <w:bCs/>
                <w:color w:val="333333"/>
                <w:sz w:val="24"/>
                <w:szCs w:val="24"/>
              </w:rPr>
              <w:t>Quality Standards</w:t>
            </w:r>
          </w:p>
        </w:tc>
      </w:tr>
      <w:tr w:rsidR="00F711EB" w:rsidTr="00F711EB">
        <w:tc>
          <w:tcPr>
            <w:tcW w:w="2977" w:type="dxa"/>
            <w:tcBorders>
              <w:top w:val="single" w:sz="4" w:space="0" w:color="auto"/>
              <w:left w:val="single" w:sz="4" w:space="0" w:color="auto"/>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lastRenderedPageBreak/>
              <w:t>Odor and Flavor</w:t>
            </w:r>
          </w:p>
        </w:tc>
        <w:tc>
          <w:tcPr>
            <w:tcW w:w="4820" w:type="dxa"/>
            <w:tcBorders>
              <w:top w:val="single" w:sz="4" w:space="0" w:color="auto"/>
              <w:left w:val="nil"/>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Inherent Crude soybean oil odor and flavor, with no peculiar odor</w:t>
            </w:r>
          </w:p>
        </w:tc>
      </w:tr>
      <w:tr w:rsidR="00F711EB" w:rsidTr="00F711EB">
        <w:tc>
          <w:tcPr>
            <w:tcW w:w="2977" w:type="dxa"/>
            <w:tcBorders>
              <w:top w:val="single" w:sz="4" w:space="0" w:color="auto"/>
              <w:left w:val="single" w:sz="4" w:space="0" w:color="auto"/>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Moisture and Volatiles Content /% ≤</w:t>
            </w:r>
          </w:p>
        </w:tc>
        <w:tc>
          <w:tcPr>
            <w:tcW w:w="4820" w:type="dxa"/>
            <w:tcBorders>
              <w:top w:val="single" w:sz="4" w:space="0" w:color="auto"/>
              <w:left w:val="nil"/>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0.20</w:t>
            </w:r>
          </w:p>
        </w:tc>
      </w:tr>
      <w:tr w:rsidR="00F711EB" w:rsidTr="00F711EB">
        <w:tc>
          <w:tcPr>
            <w:tcW w:w="2977" w:type="dxa"/>
            <w:tcBorders>
              <w:top w:val="single" w:sz="4" w:space="0" w:color="auto"/>
              <w:left w:val="single" w:sz="4" w:space="0" w:color="auto"/>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Insoluble Impurities Content /% ≤</w:t>
            </w:r>
          </w:p>
        </w:tc>
        <w:tc>
          <w:tcPr>
            <w:tcW w:w="4820" w:type="dxa"/>
            <w:tcBorders>
              <w:top w:val="single" w:sz="4" w:space="0" w:color="auto"/>
              <w:left w:val="nil"/>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0.20</w:t>
            </w:r>
          </w:p>
        </w:tc>
      </w:tr>
      <w:tr w:rsidR="00F711EB" w:rsidTr="00F711EB">
        <w:tc>
          <w:tcPr>
            <w:tcW w:w="2977" w:type="dxa"/>
            <w:tcBorders>
              <w:top w:val="single" w:sz="4" w:space="0" w:color="auto"/>
              <w:left w:val="single" w:sz="4" w:space="0" w:color="auto"/>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 xml:space="preserve">Acid Value </w:t>
            </w:r>
            <w:r>
              <w:rPr>
                <w:rFonts w:ascii="Times New Roman" w:hAnsi="Times New Roman"/>
                <w:color w:val="000000"/>
                <w:sz w:val="24"/>
                <w:szCs w:val="24"/>
              </w:rPr>
              <w:t xml:space="preserve">(KOH)/(mg/g) </w:t>
            </w:r>
            <w:r>
              <w:rPr>
                <w:rFonts w:ascii="Times New Roman" w:hAnsi="Times New Roman"/>
                <w:color w:val="333333"/>
                <w:sz w:val="24"/>
                <w:szCs w:val="24"/>
              </w:rPr>
              <w:t>≤</w:t>
            </w:r>
          </w:p>
        </w:tc>
        <w:tc>
          <w:tcPr>
            <w:tcW w:w="4820" w:type="dxa"/>
            <w:tcBorders>
              <w:top w:val="single" w:sz="4" w:space="0" w:color="auto"/>
              <w:left w:val="nil"/>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 xml:space="preserve">3.0 </w:t>
            </w:r>
          </w:p>
        </w:tc>
      </w:tr>
      <w:tr w:rsidR="00F711EB" w:rsidTr="00F711EB">
        <w:tc>
          <w:tcPr>
            <w:tcW w:w="2977" w:type="dxa"/>
            <w:tcBorders>
              <w:top w:val="single" w:sz="4" w:space="0" w:color="auto"/>
              <w:left w:val="single" w:sz="4" w:space="0" w:color="auto"/>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Peroxide Value</w:t>
            </w:r>
            <w:r>
              <w:rPr>
                <w:rFonts w:ascii="Times New Roman" w:hAnsi="Times New Roman"/>
                <w:color w:val="000000"/>
                <w:sz w:val="24"/>
                <w:szCs w:val="24"/>
              </w:rPr>
              <w:t xml:space="preserve">/(mmol/kg) </w:t>
            </w:r>
            <w:r>
              <w:rPr>
                <w:rFonts w:ascii="Times New Roman" w:hAnsi="Times New Roman"/>
                <w:color w:val="333333"/>
                <w:sz w:val="24"/>
                <w:szCs w:val="24"/>
              </w:rPr>
              <w:t>≤</w:t>
            </w:r>
          </w:p>
        </w:tc>
        <w:tc>
          <w:tcPr>
            <w:tcW w:w="4820" w:type="dxa"/>
            <w:tcBorders>
              <w:top w:val="single" w:sz="4" w:space="0" w:color="auto"/>
              <w:left w:val="nil"/>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7.5</w:t>
            </w:r>
          </w:p>
        </w:tc>
      </w:tr>
      <w:tr w:rsidR="00F711EB" w:rsidTr="00F711EB">
        <w:tc>
          <w:tcPr>
            <w:tcW w:w="2977" w:type="dxa"/>
            <w:tcBorders>
              <w:top w:val="single" w:sz="4" w:space="0" w:color="auto"/>
              <w:left w:val="single" w:sz="4" w:space="0" w:color="auto"/>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Residual Solvent Volume</w:t>
            </w:r>
            <w:r>
              <w:rPr>
                <w:rFonts w:ascii="Times New Roman" w:hAnsi="Times New Roman"/>
                <w:color w:val="000000"/>
                <w:sz w:val="24"/>
                <w:szCs w:val="24"/>
              </w:rPr>
              <w:t xml:space="preserve">/(mg/kg) </w:t>
            </w:r>
            <w:r>
              <w:rPr>
                <w:rFonts w:ascii="Times New Roman" w:hAnsi="Times New Roman"/>
                <w:color w:val="333333"/>
                <w:sz w:val="24"/>
                <w:szCs w:val="24"/>
              </w:rPr>
              <w:t>≤</w:t>
            </w:r>
          </w:p>
        </w:tc>
        <w:tc>
          <w:tcPr>
            <w:tcW w:w="4820" w:type="dxa"/>
            <w:tcBorders>
              <w:top w:val="single" w:sz="4" w:space="0" w:color="auto"/>
              <w:left w:val="nil"/>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 xml:space="preserve">100 </w:t>
            </w:r>
          </w:p>
        </w:tc>
      </w:tr>
      <w:tr w:rsidR="00F711EB" w:rsidTr="00F711EB">
        <w:tc>
          <w:tcPr>
            <w:tcW w:w="2977" w:type="dxa"/>
            <w:tcBorders>
              <w:top w:val="single" w:sz="4" w:space="0" w:color="auto"/>
              <w:left w:val="single" w:sz="4" w:space="0" w:color="auto"/>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Phosphatide Content</w:t>
            </w:r>
            <w:r>
              <w:rPr>
                <w:rFonts w:ascii="Times New Roman" w:hAnsi="Times New Roman"/>
                <w:color w:val="000000"/>
                <w:sz w:val="24"/>
                <w:szCs w:val="24"/>
              </w:rPr>
              <w:t xml:space="preserve">/(mg/g) </w:t>
            </w:r>
            <w:r>
              <w:rPr>
                <w:rFonts w:ascii="Times New Roman" w:hAnsi="Times New Roman"/>
                <w:color w:val="333333"/>
                <w:sz w:val="24"/>
                <w:szCs w:val="24"/>
              </w:rPr>
              <w:t>≤</w:t>
            </w:r>
          </w:p>
        </w:tc>
        <w:tc>
          <w:tcPr>
            <w:tcW w:w="4820" w:type="dxa"/>
            <w:tcBorders>
              <w:top w:val="single" w:sz="4" w:space="0" w:color="auto"/>
              <w:left w:val="nil"/>
              <w:bottom w:val="single" w:sz="4" w:space="0" w:color="auto"/>
              <w:right w:val="single" w:sz="4" w:space="0" w:color="auto"/>
            </w:tcBorders>
            <w:hideMark/>
          </w:tcPr>
          <w:p w:rsidR="00F711EB" w:rsidRDefault="00F711EB">
            <w:pPr>
              <w:snapToGrid w:val="0"/>
              <w:spacing w:before="200" w:line="288" w:lineRule="auto"/>
              <w:rPr>
                <w:rFonts w:ascii="Times New Roman" w:hAnsi="Times New Roman"/>
                <w:color w:val="333333"/>
                <w:sz w:val="24"/>
                <w:szCs w:val="24"/>
              </w:rPr>
            </w:pPr>
            <w:r>
              <w:rPr>
                <w:rFonts w:ascii="Times New Roman" w:hAnsi="Times New Roman"/>
                <w:color w:val="333333"/>
                <w:sz w:val="24"/>
                <w:szCs w:val="24"/>
              </w:rPr>
              <w:t>5.262</w:t>
            </w:r>
          </w:p>
        </w:tc>
      </w:tr>
    </w:tbl>
    <w:p w:rsidR="00F711EB" w:rsidRDefault="00F711EB" w:rsidP="00F711EB">
      <w:pPr>
        <w:numPr>
          <w:ilvl w:val="0"/>
          <w:numId w:val="8"/>
        </w:numPr>
        <w:shd w:val="clear" w:color="auto" w:fill="FFFFFF"/>
        <w:snapToGrid w:val="0"/>
        <w:spacing w:before="200" w:line="288" w:lineRule="auto"/>
        <w:rPr>
          <w:rFonts w:ascii="Times New Roman" w:hAnsi="Times New Roman" w:cs="Times New Roman"/>
          <w:i/>
          <w:iCs/>
          <w:color w:val="333333"/>
          <w:sz w:val="24"/>
          <w:szCs w:val="24"/>
        </w:rPr>
      </w:pPr>
      <w:r>
        <w:rPr>
          <w:rFonts w:ascii="Times New Roman" w:hAnsi="Times New Roman"/>
          <w:color w:val="333333"/>
          <w:sz w:val="24"/>
          <w:szCs w:val="24"/>
        </w:rPr>
        <w:t xml:space="preserve">Food safety requirements: subject to the rules of </w:t>
      </w:r>
      <w:r>
        <w:rPr>
          <w:rFonts w:ascii="Times New Roman" w:hAnsi="Times New Roman"/>
          <w:i/>
          <w:iCs/>
          <w:color w:val="333333"/>
          <w:sz w:val="24"/>
          <w:szCs w:val="24"/>
        </w:rPr>
        <w:t>GB</w:t>
      </w:r>
      <w:r>
        <w:rPr>
          <w:rFonts w:ascii="Times New Roman" w:hAnsi="Times New Roman"/>
          <w:i/>
          <w:iCs/>
          <w:sz w:val="24"/>
          <w:szCs w:val="24"/>
        </w:rPr>
        <w:t>/T</w:t>
      </w:r>
      <w:r>
        <w:rPr>
          <w:rFonts w:ascii="Times New Roman" w:hAnsi="Times New Roman"/>
          <w:i/>
          <w:iCs/>
          <w:color w:val="333333"/>
          <w:sz w:val="24"/>
          <w:szCs w:val="24"/>
        </w:rPr>
        <w:t xml:space="preserve"> 1535-2017.</w:t>
      </w:r>
    </w:p>
    <w:p w:rsidR="00F711EB" w:rsidRDefault="00F711EB" w:rsidP="00F711EB">
      <w:pPr>
        <w:numPr>
          <w:ilvl w:val="0"/>
          <w:numId w:val="5"/>
        </w:numPr>
        <w:shd w:val="clear" w:color="auto" w:fill="FFFFFF"/>
        <w:snapToGrid w:val="0"/>
        <w:spacing w:before="200" w:line="288" w:lineRule="auto"/>
        <w:rPr>
          <w:rFonts w:ascii="Times New Roman" w:hAnsi="Times New Roman"/>
          <w:b/>
          <w:bCs/>
          <w:kern w:val="2"/>
          <w:sz w:val="24"/>
          <w:szCs w:val="24"/>
        </w:rPr>
      </w:pPr>
      <w:r>
        <w:rPr>
          <w:rFonts w:ascii="Times New Roman" w:hAnsi="Times New Roman"/>
          <w:b/>
          <w:bCs/>
          <w:sz w:val="24"/>
          <w:szCs w:val="24"/>
        </w:rPr>
        <w:t xml:space="preserve">Inspection </w:t>
      </w:r>
      <w:r>
        <w:rPr>
          <w:rFonts w:ascii="Times New Roman" w:hAnsi="Times New Roman"/>
          <w:b/>
          <w:bCs/>
          <w:color w:val="333333"/>
          <w:sz w:val="24"/>
          <w:szCs w:val="24"/>
        </w:rPr>
        <w:t>methods</w:t>
      </w:r>
      <w:r>
        <w:rPr>
          <w:rFonts w:ascii="Times New Roman" w:hAnsi="Times New Roman"/>
          <w:b/>
          <w:bCs/>
          <w:sz w:val="24"/>
          <w:szCs w:val="24"/>
        </w:rPr>
        <w:t>, inspection rules and labeling</w:t>
      </w:r>
    </w:p>
    <w:p w:rsidR="00F711EB" w:rsidRDefault="00F711EB" w:rsidP="00F711EB">
      <w:pPr>
        <w:numPr>
          <w:ilvl w:val="0"/>
          <w:numId w:val="9"/>
        </w:numPr>
        <w:shd w:val="clear" w:color="auto" w:fill="FFFFFF"/>
        <w:snapToGrid w:val="0"/>
        <w:spacing w:before="200" w:line="288" w:lineRule="auto"/>
        <w:ind w:left="567" w:hanging="567"/>
        <w:rPr>
          <w:rFonts w:ascii="Times New Roman" w:hAnsi="Times New Roman"/>
          <w:sz w:val="24"/>
          <w:szCs w:val="24"/>
        </w:rPr>
      </w:pPr>
      <w:r>
        <w:rPr>
          <w:rFonts w:ascii="Times New Roman" w:hAnsi="Times New Roman"/>
          <w:sz w:val="24"/>
          <w:szCs w:val="24"/>
        </w:rPr>
        <w:t xml:space="preserve">Inspection of phosphatide content shall be subject to the rules of </w:t>
      </w:r>
      <w:r>
        <w:rPr>
          <w:rFonts w:ascii="Times New Roman" w:hAnsi="Times New Roman"/>
          <w:i/>
          <w:iCs/>
          <w:sz w:val="24"/>
          <w:szCs w:val="24"/>
        </w:rPr>
        <w:t>GB/T 5537-2008</w:t>
      </w:r>
      <w:r>
        <w:rPr>
          <w:rFonts w:ascii="Times New Roman" w:hAnsi="Times New Roman"/>
          <w:sz w:val="24"/>
          <w:szCs w:val="24"/>
        </w:rPr>
        <w:t>.</w:t>
      </w:r>
    </w:p>
    <w:p w:rsidR="00F711EB" w:rsidRDefault="00F711EB" w:rsidP="00F711EB">
      <w:pPr>
        <w:numPr>
          <w:ilvl w:val="0"/>
          <w:numId w:val="9"/>
        </w:numPr>
        <w:shd w:val="clear" w:color="auto" w:fill="FFFFFF"/>
        <w:snapToGrid w:val="0"/>
        <w:spacing w:before="200" w:line="288" w:lineRule="auto"/>
        <w:rPr>
          <w:rFonts w:ascii="Times New Roman" w:hAnsi="Times New Roman"/>
          <w:sz w:val="24"/>
          <w:szCs w:val="24"/>
        </w:rPr>
      </w:pPr>
      <w:r>
        <w:rPr>
          <w:rFonts w:ascii="Times New Roman" w:hAnsi="Times New Roman"/>
          <w:sz w:val="24"/>
          <w:szCs w:val="24"/>
        </w:rPr>
        <w:t xml:space="preserve">Others shall be subject to the rules of </w:t>
      </w:r>
      <w:r>
        <w:rPr>
          <w:rFonts w:ascii="Times New Roman" w:hAnsi="Times New Roman"/>
          <w:i/>
          <w:iCs/>
          <w:sz w:val="24"/>
          <w:szCs w:val="24"/>
        </w:rPr>
        <w:t>GB/T 1535-2017</w:t>
      </w:r>
      <w:r>
        <w:rPr>
          <w:rFonts w:ascii="Times New Roman" w:hAnsi="Times New Roman"/>
          <w:sz w:val="24"/>
          <w:szCs w:val="24"/>
        </w:rPr>
        <w:t>.</w:t>
      </w:r>
    </w:p>
    <w:p w:rsidR="00F711EB" w:rsidRDefault="00F711EB" w:rsidP="00F711EB">
      <w:pPr>
        <w:numPr>
          <w:ilvl w:val="0"/>
          <w:numId w:val="5"/>
        </w:numPr>
        <w:shd w:val="clear" w:color="auto" w:fill="FFFFFF"/>
        <w:snapToGrid w:val="0"/>
        <w:spacing w:before="200" w:line="288" w:lineRule="auto"/>
        <w:rPr>
          <w:rFonts w:ascii="Times New Roman" w:hAnsi="Times New Roman"/>
          <w:sz w:val="24"/>
          <w:szCs w:val="24"/>
        </w:rPr>
      </w:pPr>
      <w:r>
        <w:rPr>
          <w:rFonts w:ascii="Times New Roman" w:hAnsi="Times New Roman"/>
          <w:b/>
          <w:bCs/>
          <w:sz w:val="24"/>
          <w:szCs w:val="24"/>
        </w:rPr>
        <w:t>Additional note</w:t>
      </w:r>
    </w:p>
    <w:p w:rsidR="00F711EB" w:rsidRDefault="00F711EB" w:rsidP="00F711EB">
      <w:pPr>
        <w:adjustRightInd w:val="0"/>
        <w:snapToGrid w:val="0"/>
        <w:spacing w:before="200" w:line="288" w:lineRule="auto"/>
        <w:rPr>
          <w:rFonts w:ascii="Times New Roman" w:hAnsi="Times New Roman"/>
          <w:sz w:val="24"/>
          <w:szCs w:val="24"/>
        </w:rPr>
      </w:pPr>
      <w:r>
        <w:rPr>
          <w:rFonts w:ascii="Times New Roman" w:hAnsi="Times New Roman"/>
          <w:sz w:val="24"/>
          <w:szCs w:val="24"/>
        </w:rPr>
        <w:t>The Standard shall be subject to the interpretation of DCE.</w:t>
      </w:r>
    </w:p>
    <w:p w:rsidR="00F711EB" w:rsidRDefault="00F711EB" w:rsidP="00F711EB">
      <w:pPr>
        <w:spacing w:before="200" w:line="288" w:lineRule="auto"/>
        <w:rPr>
          <w:rFonts w:ascii="Times New Roman" w:hAnsi="Times New Roman"/>
          <w:sz w:val="24"/>
          <w:szCs w:val="24"/>
        </w:rPr>
      </w:pPr>
      <w:r>
        <w:rPr>
          <w:rFonts w:ascii="Times New Roman" w:hAnsi="Times New Roman"/>
          <w:sz w:val="24"/>
          <w:szCs w:val="24"/>
        </w:rPr>
        <w:t xml:space="preserve"> </w:t>
      </w:r>
    </w:p>
    <w:p w:rsidR="00F711EB" w:rsidRDefault="00F711EB" w:rsidP="00F711EB">
      <w:pPr>
        <w:shd w:val="clear" w:color="auto" w:fill="FFFFFF"/>
        <w:snapToGrid w:val="0"/>
        <w:spacing w:after="200" w:line="288" w:lineRule="auto"/>
        <w:ind w:left="420"/>
        <w:rPr>
          <w:rFonts w:ascii="Times New Roman" w:hAnsi="Times New Roman" w:cs="Arial"/>
          <w:color w:val="333333"/>
          <w:sz w:val="24"/>
          <w:szCs w:val="24"/>
        </w:rPr>
      </w:pPr>
      <w:r>
        <w:rPr>
          <w:rFonts w:ascii="Times New Roman" w:hAnsi="Times New Roman" w:cs="Arial"/>
          <w:color w:val="333333"/>
          <w:sz w:val="24"/>
          <w:szCs w:val="24"/>
        </w:rPr>
        <w:t xml:space="preserve"> </w:t>
      </w:r>
    </w:p>
    <w:p w:rsidR="00420C4D" w:rsidRPr="00125CBC" w:rsidRDefault="00F711EB" w:rsidP="00420C4D">
      <w:pPr>
        <w:jc w:val="left"/>
        <w:rPr>
          <w:rFonts w:ascii="Times New Roman" w:hAnsi="Times New Roman" w:cs="Times New Roman"/>
          <w:color w:val="333333"/>
          <w:sz w:val="24"/>
          <w:szCs w:val="24"/>
        </w:rPr>
      </w:pPr>
      <w:r>
        <w:rPr>
          <w:rFonts w:ascii="Times New Roman" w:hAnsi="Times New Roman" w:cs="Arial"/>
          <w:b/>
          <w:bCs/>
          <w:color w:val="333333"/>
          <w:sz w:val="24"/>
          <w:szCs w:val="24"/>
        </w:rPr>
        <w:t xml:space="preserve">Annex 2:  List of Delivery Warehouses Designated for Soybean Oil of Dalian Commodity Exchange. </w:t>
      </w:r>
      <w:r w:rsidR="00420C4D" w:rsidRPr="00125CBC">
        <w:rPr>
          <w:rFonts w:ascii="Times New Roman" w:hAnsi="Times New Roman" w:cs="Times New Roman"/>
          <w:color w:val="333333"/>
          <w:sz w:val="24"/>
          <w:szCs w:val="24"/>
        </w:rPr>
        <w:t>（</w:t>
      </w:r>
      <w:r w:rsidR="00420C4D" w:rsidRPr="00125CBC">
        <w:rPr>
          <w:rFonts w:ascii="Times New Roman" w:hAnsi="Times New Roman" w:cs="Times New Roman"/>
          <w:sz w:val="24"/>
          <w:szCs w:val="24"/>
        </w:rPr>
        <w:t>http://www.dce.com.cn/dalianshangpin/ywfw/ywzy/nypjgywzy/index.html</w:t>
      </w:r>
      <w:r w:rsidR="00420C4D" w:rsidRPr="00125CBC">
        <w:rPr>
          <w:rFonts w:ascii="Times New Roman" w:hAnsi="Times New Roman" w:cs="Times New Roman"/>
          <w:color w:val="333333"/>
          <w:sz w:val="24"/>
          <w:szCs w:val="24"/>
        </w:rPr>
        <w:t>）</w:t>
      </w:r>
    </w:p>
    <w:p w:rsidR="00F711EB" w:rsidRDefault="00F711EB" w:rsidP="00420C4D">
      <w:pPr>
        <w:jc w:val="left"/>
        <w:rPr>
          <w:rFonts w:ascii="Times New Roman" w:hAnsi="Times New Roman" w:cs="Times New Roman"/>
          <w:kern w:val="2"/>
          <w:sz w:val="24"/>
          <w:szCs w:val="24"/>
        </w:rPr>
      </w:pPr>
      <w:r>
        <w:rPr>
          <w:rFonts w:ascii="Times New Roman" w:hAnsi="Times New Roman"/>
          <w:sz w:val="24"/>
          <w:szCs w:val="24"/>
        </w:rPr>
        <w:t xml:space="preserve"> </w:t>
      </w:r>
    </w:p>
    <w:p w:rsidR="00F711EB" w:rsidRDefault="00F711EB" w:rsidP="00F711EB">
      <w:pPr>
        <w:snapToGrid w:val="0"/>
        <w:spacing w:after="200" w:line="288" w:lineRule="auto"/>
        <w:rPr>
          <w:rFonts w:ascii="Times New Roman" w:hAnsi="Times New Roman"/>
          <w:b/>
          <w:bCs/>
          <w:sz w:val="24"/>
          <w:szCs w:val="24"/>
        </w:rPr>
      </w:pPr>
      <w:r>
        <w:rPr>
          <w:rFonts w:ascii="Times New Roman" w:hAnsi="Times New Roman"/>
          <w:b/>
          <w:bCs/>
          <w:sz w:val="24"/>
          <w:szCs w:val="24"/>
        </w:rPr>
        <w:br w:type="page"/>
      </w:r>
      <w:r>
        <w:rPr>
          <w:rFonts w:ascii="Times New Roman" w:hAnsi="Times New Roman"/>
          <w:b/>
          <w:bCs/>
          <w:sz w:val="24"/>
          <w:szCs w:val="24"/>
        </w:rPr>
        <w:lastRenderedPageBreak/>
        <w:t>Annex 3</w:t>
      </w:r>
    </w:p>
    <w:p w:rsidR="00F711EB" w:rsidRDefault="00F711EB" w:rsidP="00F711EB">
      <w:pPr>
        <w:snapToGrid w:val="0"/>
        <w:spacing w:after="200" w:line="288" w:lineRule="auto"/>
        <w:jc w:val="center"/>
        <w:rPr>
          <w:rFonts w:ascii="Times New Roman" w:hAnsi="Times New Roman"/>
          <w:b/>
          <w:bCs/>
          <w:sz w:val="24"/>
          <w:szCs w:val="24"/>
        </w:rPr>
      </w:pPr>
      <w:r>
        <w:rPr>
          <w:rFonts w:ascii="Times New Roman" w:hAnsi="Times New Roman"/>
          <w:b/>
          <w:bCs/>
          <w:sz w:val="24"/>
          <w:szCs w:val="24"/>
        </w:rPr>
        <w:t>Dynamic Premium and Discount Standards for Soybean Oil Futures on Dalian Commodity Exchange</w:t>
      </w:r>
    </w:p>
    <w:p w:rsidR="00F711EB" w:rsidRDefault="00F711EB" w:rsidP="00F711EB">
      <w:pPr>
        <w:snapToGrid w:val="0"/>
        <w:spacing w:after="200" w:line="288" w:lineRule="auto"/>
        <w:rPr>
          <w:rFonts w:ascii="Times New Roman" w:hAnsi="Times New Roman"/>
          <w:sz w:val="24"/>
          <w:szCs w:val="24"/>
        </w:rPr>
      </w:pPr>
      <w:r>
        <w:rPr>
          <w:rFonts w:ascii="Times New Roman" w:hAnsi="Times New Roman"/>
          <w:sz w:val="24"/>
          <w:szCs w:val="24"/>
        </w:rPr>
        <w:t>Dynamic premium and discount consists of two parts, and is the sum of the non-spread fixed value and the spread dynamic value.</w:t>
      </w:r>
    </w:p>
    <w:p w:rsidR="00F711EB" w:rsidRDefault="00F711EB" w:rsidP="00F711EB">
      <w:pPr>
        <w:snapToGrid w:val="0"/>
        <w:spacing w:after="200" w:line="288" w:lineRule="auto"/>
        <w:rPr>
          <w:rFonts w:ascii="Times New Roman" w:hAnsi="Times New Roman"/>
          <w:sz w:val="24"/>
          <w:szCs w:val="24"/>
        </w:rPr>
      </w:pPr>
      <w:r>
        <w:rPr>
          <w:rFonts w:ascii="Times New Roman" w:hAnsi="Times New Roman"/>
          <w:sz w:val="24"/>
          <w:szCs w:val="24"/>
        </w:rPr>
        <w:t>The non-spread fixed value is a fixed value set by the Exchange to highlight the dominant position of the area where the benchmark delivery warehouse is located. It is separately announced by the Exchange and adjusted according to market conditions.</w:t>
      </w:r>
    </w:p>
    <w:p w:rsidR="00F711EB" w:rsidRDefault="00F711EB" w:rsidP="00F711EB">
      <w:pPr>
        <w:snapToGrid w:val="0"/>
        <w:spacing w:after="200" w:line="288" w:lineRule="auto"/>
        <w:rPr>
          <w:rFonts w:ascii="Times New Roman" w:hAnsi="Times New Roman"/>
          <w:sz w:val="24"/>
          <w:szCs w:val="24"/>
        </w:rPr>
      </w:pPr>
      <w:r>
        <w:rPr>
          <w:rFonts w:ascii="Times New Roman" w:hAnsi="Times New Roman"/>
          <w:sz w:val="24"/>
          <w:szCs w:val="24"/>
        </w:rPr>
        <w:t xml:space="preserve">The spread dynamic value is the dynamic value set by the Exchange according to the difference of the physical prices in the delivery area where the non-benchmark designated delivery warehouse is located and that where the benchmark designated delivery warehouse is located </w:t>
      </w:r>
      <w:r>
        <w:rPr>
          <w:rFonts w:ascii="Times New Roman" w:hAnsi="Times New Roman" w:cs="微软雅黑"/>
          <w:sz w:val="24"/>
          <w:szCs w:val="24"/>
        </w:rPr>
        <w:t xml:space="preserve">within the specified time period (the </w:t>
      </w:r>
      <w:r>
        <w:rPr>
          <w:rFonts w:ascii="Times New Roman" w:hAnsi="Times New Roman"/>
          <w:sz w:val="24"/>
          <w:szCs w:val="24"/>
        </w:rPr>
        <w:t>"</w:t>
      </w:r>
      <w:r>
        <w:rPr>
          <w:rFonts w:ascii="Times New Roman" w:hAnsi="Times New Roman" w:cs="微软雅黑"/>
          <w:b/>
          <w:bCs/>
          <w:sz w:val="24"/>
          <w:szCs w:val="24"/>
        </w:rPr>
        <w:t>Physical Spread</w:t>
      </w:r>
      <w:r>
        <w:rPr>
          <w:rFonts w:ascii="Times New Roman" w:hAnsi="Times New Roman"/>
          <w:sz w:val="24"/>
          <w:szCs w:val="24"/>
        </w:rPr>
        <w:t>"</w:t>
      </w:r>
      <w:r>
        <w:rPr>
          <w:rFonts w:ascii="Times New Roman" w:hAnsi="Times New Roman" w:cs="微软雅黑"/>
          <w:sz w:val="24"/>
          <w:szCs w:val="24"/>
        </w:rPr>
        <w:t xml:space="preserve"> for short</w:t>
      </w:r>
      <w:r>
        <w:rPr>
          <w:rFonts w:ascii="Times New Roman" w:hAnsi="Times New Roman"/>
          <w:sz w:val="24"/>
          <w:szCs w:val="24"/>
        </w:rPr>
        <w:t xml:space="preserve">), which is equal to the middle value among the Physical Spread and the minimum and maximum values in the price difference range announced by the Exchange. </w:t>
      </w:r>
      <w:r>
        <w:rPr>
          <w:rFonts w:ascii="Times New Roman" w:hAnsi="Times New Roman" w:cs="微软雅黑"/>
          <w:sz w:val="24"/>
          <w:szCs w:val="24"/>
        </w:rPr>
        <w:t xml:space="preserve">Specifically, the </w:t>
      </w:r>
      <w:r>
        <w:rPr>
          <w:rFonts w:ascii="Times New Roman" w:hAnsi="Times New Roman"/>
          <w:sz w:val="24"/>
          <w:szCs w:val="24"/>
        </w:rPr>
        <w:t>Physical</w:t>
      </w:r>
      <w:r>
        <w:rPr>
          <w:rFonts w:ascii="Times New Roman" w:hAnsi="Times New Roman" w:cs="微软雅黑"/>
          <w:sz w:val="24"/>
          <w:szCs w:val="24"/>
        </w:rPr>
        <w:t xml:space="preserve"> Spread is </w:t>
      </w:r>
      <w:r>
        <w:rPr>
          <w:rFonts w:ascii="Times New Roman" w:hAnsi="Times New Roman"/>
          <w:sz w:val="24"/>
          <w:szCs w:val="24"/>
        </w:rPr>
        <w:t>the arithmetic mean of the physical price differences in the two areas from the 1st to the 10th trading days in the month before the delivery month that are announced by the Exchange-designated platform. The areas where the designated delivery warehouses are located shall be announced by the Exchange in the directory of delivery warehouses. The platforms designated by the Exchange to announce the price differences, the enterprises involved in the regional quotation on the Exchange-designated platforms, the algorithms of the regional price differences announced by the Exchange-designated platforms and the time of announcing the dynamic premium and discount shall be set and separately released by the Exchange.</w:t>
      </w:r>
    </w:p>
    <w:p w:rsidR="00F711EB" w:rsidRDefault="00F711EB" w:rsidP="00F711EB">
      <w:pPr>
        <w:shd w:val="clear" w:color="auto" w:fill="FFFFFF"/>
        <w:snapToGrid w:val="0"/>
        <w:spacing w:after="200" w:line="288" w:lineRule="auto"/>
        <w:rPr>
          <w:rFonts w:ascii="Times New Roman" w:hAnsi="Times New Roman"/>
          <w:b/>
          <w:bCs/>
          <w:sz w:val="24"/>
          <w:szCs w:val="24"/>
        </w:rPr>
      </w:pPr>
      <w:r>
        <w:rPr>
          <w:rFonts w:ascii="Times New Roman" w:hAnsi="Times New Roman"/>
          <w:b/>
          <w:bCs/>
          <w:sz w:val="24"/>
          <w:szCs w:val="24"/>
        </w:rPr>
        <w:t xml:space="preserve"> </w:t>
      </w:r>
    </w:p>
    <w:p w:rsidR="00F711EB" w:rsidRDefault="00F711EB" w:rsidP="00F711EB">
      <w:pPr>
        <w:snapToGrid w:val="0"/>
        <w:spacing w:after="200" w:line="288" w:lineRule="auto"/>
        <w:rPr>
          <w:rFonts w:ascii="等线" w:eastAsia="等线" w:hAnsi="等线"/>
        </w:rPr>
      </w:pPr>
      <w:r>
        <w:rPr>
          <w:rFonts w:hint="eastAsia"/>
        </w:rPr>
        <w:t xml:space="preserve"> </w:t>
      </w:r>
    </w:p>
    <w:p w:rsidR="002757CE" w:rsidRPr="00F711EB" w:rsidRDefault="002757CE" w:rsidP="0034587A">
      <w:pPr>
        <w:adjustRightInd w:val="0"/>
        <w:snapToGrid w:val="0"/>
        <w:spacing w:before="200" w:line="288" w:lineRule="auto"/>
        <w:jc w:val="left"/>
        <w:rPr>
          <w:rFonts w:ascii="Times New Roman" w:hAnsi="Times New Roman" w:cs="Times New Roman"/>
          <w:b/>
          <w:sz w:val="24"/>
          <w:szCs w:val="24"/>
        </w:rPr>
      </w:pPr>
    </w:p>
    <w:sectPr w:rsidR="002757CE" w:rsidRPr="00F711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1EB" w:rsidRDefault="00F711EB" w:rsidP="00F711EB">
      <w:r>
        <w:separator/>
      </w:r>
    </w:p>
  </w:endnote>
  <w:endnote w:type="continuationSeparator" w:id="0">
    <w:p w:rsidR="00F711EB" w:rsidRDefault="00F711EB" w:rsidP="00F71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1EB" w:rsidRDefault="00F711EB" w:rsidP="00F711EB">
      <w:r>
        <w:separator/>
      </w:r>
    </w:p>
  </w:footnote>
  <w:footnote w:type="continuationSeparator" w:id="0">
    <w:p w:rsidR="00F711EB" w:rsidRDefault="00F711EB" w:rsidP="00F711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638CB"/>
    <w:multiLevelType w:val="multilevel"/>
    <w:tmpl w:val="169638CB"/>
    <w:lvl w:ilvl="0">
      <w:start w:val="1"/>
      <w:numFmt w:val="decimal"/>
      <w:lvlText w:val="(%1)"/>
      <w:lvlJc w:val="left"/>
      <w:pPr>
        <w:ind w:left="1629" w:hanging="370"/>
      </w:pPr>
      <w:rPr>
        <w:rFonts w:hint="default"/>
      </w:rPr>
    </w:lvl>
    <w:lvl w:ilvl="1">
      <w:start w:val="1"/>
      <w:numFmt w:val="lowerLetter"/>
      <w:lvlText w:val="%2)"/>
      <w:lvlJc w:val="left"/>
      <w:pPr>
        <w:ind w:left="2099" w:hanging="420"/>
      </w:pPr>
    </w:lvl>
    <w:lvl w:ilvl="2">
      <w:start w:val="1"/>
      <w:numFmt w:val="lowerRoman"/>
      <w:lvlText w:val="%3."/>
      <w:lvlJc w:val="right"/>
      <w:pPr>
        <w:ind w:left="2519" w:hanging="420"/>
      </w:pPr>
    </w:lvl>
    <w:lvl w:ilvl="3">
      <w:start w:val="1"/>
      <w:numFmt w:val="decimal"/>
      <w:lvlText w:val="%4."/>
      <w:lvlJc w:val="left"/>
      <w:pPr>
        <w:ind w:left="2939" w:hanging="420"/>
      </w:pPr>
    </w:lvl>
    <w:lvl w:ilvl="4">
      <w:start w:val="1"/>
      <w:numFmt w:val="lowerLetter"/>
      <w:lvlText w:val="%5)"/>
      <w:lvlJc w:val="left"/>
      <w:pPr>
        <w:ind w:left="3359" w:hanging="420"/>
      </w:pPr>
    </w:lvl>
    <w:lvl w:ilvl="5">
      <w:start w:val="1"/>
      <w:numFmt w:val="lowerRoman"/>
      <w:lvlText w:val="%6."/>
      <w:lvlJc w:val="right"/>
      <w:pPr>
        <w:ind w:left="3779" w:hanging="420"/>
      </w:pPr>
    </w:lvl>
    <w:lvl w:ilvl="6">
      <w:start w:val="1"/>
      <w:numFmt w:val="decimal"/>
      <w:lvlText w:val="%7."/>
      <w:lvlJc w:val="left"/>
      <w:pPr>
        <w:ind w:left="4199" w:hanging="420"/>
      </w:pPr>
    </w:lvl>
    <w:lvl w:ilvl="7">
      <w:start w:val="1"/>
      <w:numFmt w:val="lowerLetter"/>
      <w:lvlText w:val="%8)"/>
      <w:lvlJc w:val="left"/>
      <w:pPr>
        <w:ind w:left="4619" w:hanging="420"/>
      </w:pPr>
    </w:lvl>
    <w:lvl w:ilvl="8">
      <w:start w:val="1"/>
      <w:numFmt w:val="lowerRoman"/>
      <w:lvlText w:val="%9."/>
      <w:lvlJc w:val="right"/>
      <w:pPr>
        <w:ind w:left="5039" w:hanging="420"/>
      </w:pPr>
    </w:lvl>
  </w:abstractNum>
  <w:abstractNum w:abstractNumId="1" w15:restartNumberingAfterBreak="0">
    <w:nsid w:val="2855047A"/>
    <w:multiLevelType w:val="multilevel"/>
    <w:tmpl w:val="B50AD18E"/>
    <w:lvl w:ilvl="0">
      <w:start w:val="1"/>
      <w:numFmt w:val="decimal"/>
      <w:lvlText w:val="3.%1"/>
      <w:lvlJc w:val="left"/>
      <w:pPr>
        <w:ind w:left="420" w:hanging="420"/>
      </w:pPr>
      <w:rPr>
        <w:rFonts w:ascii="宋体" w:eastAsia="宋体" w:hAnsi="宋体" w:hint="eastAsia"/>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2" w15:restartNumberingAfterBreak="0">
    <w:nsid w:val="287257FA"/>
    <w:multiLevelType w:val="multilevel"/>
    <w:tmpl w:val="287257FA"/>
    <w:lvl w:ilvl="0">
      <w:start w:val="1"/>
      <w:numFmt w:val="decimal"/>
      <w:lvlText w:val="(%1)"/>
      <w:lvlJc w:val="left"/>
      <w:pPr>
        <w:ind w:left="1679" w:hanging="420"/>
      </w:pPr>
      <w:rPr>
        <w:rFonts w:hint="eastAsia"/>
      </w:rPr>
    </w:lvl>
    <w:lvl w:ilvl="1">
      <w:start w:val="1"/>
      <w:numFmt w:val="lowerLetter"/>
      <w:lvlText w:val="%2)"/>
      <w:lvlJc w:val="left"/>
      <w:pPr>
        <w:ind w:left="2099" w:hanging="420"/>
      </w:pPr>
    </w:lvl>
    <w:lvl w:ilvl="2">
      <w:start w:val="1"/>
      <w:numFmt w:val="lowerRoman"/>
      <w:lvlText w:val="%3."/>
      <w:lvlJc w:val="right"/>
      <w:pPr>
        <w:ind w:left="2519" w:hanging="420"/>
      </w:pPr>
    </w:lvl>
    <w:lvl w:ilvl="3">
      <w:start w:val="1"/>
      <w:numFmt w:val="decimal"/>
      <w:lvlText w:val="%4."/>
      <w:lvlJc w:val="left"/>
      <w:pPr>
        <w:ind w:left="2939" w:hanging="420"/>
      </w:pPr>
    </w:lvl>
    <w:lvl w:ilvl="4">
      <w:start w:val="1"/>
      <w:numFmt w:val="lowerLetter"/>
      <w:lvlText w:val="%5)"/>
      <w:lvlJc w:val="left"/>
      <w:pPr>
        <w:ind w:left="3359" w:hanging="420"/>
      </w:pPr>
    </w:lvl>
    <w:lvl w:ilvl="5">
      <w:start w:val="1"/>
      <w:numFmt w:val="lowerRoman"/>
      <w:lvlText w:val="%6."/>
      <w:lvlJc w:val="right"/>
      <w:pPr>
        <w:ind w:left="3779" w:hanging="420"/>
      </w:pPr>
    </w:lvl>
    <w:lvl w:ilvl="6">
      <w:start w:val="1"/>
      <w:numFmt w:val="decimal"/>
      <w:lvlText w:val="%7."/>
      <w:lvlJc w:val="left"/>
      <w:pPr>
        <w:ind w:left="4199" w:hanging="420"/>
      </w:pPr>
    </w:lvl>
    <w:lvl w:ilvl="7">
      <w:start w:val="1"/>
      <w:numFmt w:val="lowerLetter"/>
      <w:lvlText w:val="%8)"/>
      <w:lvlJc w:val="left"/>
      <w:pPr>
        <w:ind w:left="4619" w:hanging="420"/>
      </w:pPr>
    </w:lvl>
    <w:lvl w:ilvl="8">
      <w:start w:val="1"/>
      <w:numFmt w:val="lowerRoman"/>
      <w:lvlText w:val="%9."/>
      <w:lvlJc w:val="right"/>
      <w:pPr>
        <w:ind w:left="5039" w:hanging="420"/>
      </w:pPr>
    </w:lvl>
  </w:abstractNum>
  <w:abstractNum w:abstractNumId="3" w15:restartNumberingAfterBreak="0">
    <w:nsid w:val="2D51454C"/>
    <w:multiLevelType w:val="multilevel"/>
    <w:tmpl w:val="0409001D"/>
    <w:lvl w:ilvl="0">
      <w:start w:val="1"/>
      <w:numFmt w:val="decimal"/>
      <w:lvlText w:val="%1"/>
      <w:lvlJc w:val="left"/>
      <w:pPr>
        <w:ind w:left="425" w:hanging="425"/>
      </w:pPr>
      <w:rPr>
        <w:rFonts w:ascii="Times New Roman" w:hAnsi="Times New Roman" w:cs="Times New Roman" w:hint="default"/>
      </w:rPr>
    </w:lvl>
    <w:lvl w:ilvl="1">
      <w:start w:val="1"/>
      <w:numFmt w:val="decimal"/>
      <w:lvlText w:val="%1.%2"/>
      <w:lvlJc w:val="left"/>
      <w:pPr>
        <w:ind w:left="992" w:hanging="567"/>
      </w:pPr>
      <w:rPr>
        <w:rFonts w:ascii="Times New Roman" w:hAnsi="Times New Roman" w:cs="Times New Roman" w:hint="default"/>
        <w:i w:val="0"/>
        <w:iCs w:val="0"/>
      </w:rPr>
    </w:lvl>
    <w:lvl w:ilvl="2">
      <w:start w:val="1"/>
      <w:numFmt w:val="decimal"/>
      <w:lvlText w:val="%1.%2.%3"/>
      <w:lvlJc w:val="left"/>
      <w:pPr>
        <w:ind w:left="1418" w:hanging="567"/>
      </w:pPr>
      <w:rPr>
        <w:rFonts w:ascii="Times New Roman" w:hAnsi="Times New Roman" w:cs="Times New Roman" w:hint="default"/>
      </w:rPr>
    </w:lvl>
    <w:lvl w:ilvl="3">
      <w:start w:val="1"/>
      <w:numFmt w:val="decimal"/>
      <w:lvlText w:val="%1.%2.%3.%4"/>
      <w:lvlJc w:val="left"/>
      <w:pPr>
        <w:ind w:left="1984" w:hanging="708"/>
      </w:pPr>
      <w:rPr>
        <w:rFonts w:ascii="Times New Roman" w:hAnsi="Times New Roman" w:cs="Times New Roman" w:hint="default"/>
      </w:rPr>
    </w:lvl>
    <w:lvl w:ilvl="4">
      <w:start w:val="1"/>
      <w:numFmt w:val="decimal"/>
      <w:lvlText w:val="%1.%2.%3.%4.%5"/>
      <w:lvlJc w:val="left"/>
      <w:pPr>
        <w:ind w:left="2551" w:hanging="850"/>
      </w:pPr>
      <w:rPr>
        <w:rFonts w:ascii="Times New Roman" w:hAnsi="Times New Roman" w:cs="Times New Roman" w:hint="default"/>
      </w:rPr>
    </w:lvl>
    <w:lvl w:ilvl="5">
      <w:start w:val="1"/>
      <w:numFmt w:val="decimal"/>
      <w:lvlText w:val="%1.%2.%3.%4.%5.%6"/>
      <w:lvlJc w:val="left"/>
      <w:pPr>
        <w:ind w:left="3260" w:hanging="1134"/>
      </w:pPr>
      <w:rPr>
        <w:rFonts w:ascii="Times New Roman" w:hAnsi="Times New Roman" w:cs="Times New Roman" w:hint="default"/>
      </w:rPr>
    </w:lvl>
    <w:lvl w:ilvl="6">
      <w:start w:val="1"/>
      <w:numFmt w:val="decimal"/>
      <w:lvlText w:val="%1.%2.%3.%4.%5.%6.%7"/>
      <w:lvlJc w:val="left"/>
      <w:pPr>
        <w:ind w:left="3827" w:hanging="1276"/>
      </w:pPr>
      <w:rPr>
        <w:rFonts w:ascii="Times New Roman" w:hAnsi="Times New Roman" w:cs="Times New Roman" w:hint="default"/>
      </w:rPr>
    </w:lvl>
    <w:lvl w:ilvl="7">
      <w:start w:val="1"/>
      <w:numFmt w:val="decimal"/>
      <w:lvlText w:val="%1.%2.%3.%4.%5.%6.%7.%8"/>
      <w:lvlJc w:val="left"/>
      <w:pPr>
        <w:ind w:left="4394" w:hanging="1418"/>
      </w:pPr>
      <w:rPr>
        <w:rFonts w:ascii="Times New Roman" w:hAnsi="Times New Roman" w:cs="Times New Roman" w:hint="default"/>
      </w:rPr>
    </w:lvl>
    <w:lvl w:ilvl="8">
      <w:start w:val="1"/>
      <w:numFmt w:val="decimal"/>
      <w:lvlText w:val="%1.%2.%3.%4.%5.%6.%7.%8.%9"/>
      <w:lvlJc w:val="left"/>
      <w:pPr>
        <w:ind w:left="5102" w:hanging="1700"/>
      </w:pPr>
      <w:rPr>
        <w:rFonts w:ascii="Times New Roman" w:hAnsi="Times New Roman" w:cs="Times New Roman" w:hint="default"/>
      </w:rPr>
    </w:lvl>
  </w:abstractNum>
  <w:abstractNum w:abstractNumId="4" w15:restartNumberingAfterBreak="0">
    <w:nsid w:val="2FE654EB"/>
    <w:multiLevelType w:val="multilevel"/>
    <w:tmpl w:val="2FE654EB"/>
    <w:lvl w:ilvl="0">
      <w:start w:val="1"/>
      <w:numFmt w:val="decimal"/>
      <w:lvlText w:val="Article %1"/>
      <w:lvlJc w:val="left"/>
      <w:pPr>
        <w:ind w:left="420" w:hanging="420"/>
      </w:pPr>
      <w:rPr>
        <w:rFonts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37310AD1"/>
    <w:multiLevelType w:val="multilevel"/>
    <w:tmpl w:val="3A287484"/>
    <w:lvl w:ilvl="0">
      <w:start w:val="1"/>
      <w:numFmt w:val="decimal"/>
      <w:lvlText w:val="%1"/>
      <w:lvlJc w:val="left"/>
      <w:pPr>
        <w:ind w:left="425" w:hanging="425"/>
      </w:pPr>
      <w:rPr>
        <w:rFonts w:ascii="Times New Roman" w:hAnsi="Times New Roman" w:cs="Times New Roman" w:hint="default"/>
        <w:b/>
        <w:bCs/>
      </w:rPr>
    </w:lvl>
    <w:lvl w:ilvl="1">
      <w:start w:val="1"/>
      <w:numFmt w:val="decimal"/>
      <w:lvlText w:val="%1.%2"/>
      <w:lvlJc w:val="left"/>
      <w:pPr>
        <w:ind w:left="992" w:hanging="567"/>
      </w:pPr>
      <w:rPr>
        <w:rFonts w:ascii="Times New Roman" w:hAnsi="Times New Roman" w:cs="Times New Roman" w:hint="default"/>
        <w:i w:val="0"/>
        <w:iCs w:val="0"/>
      </w:rPr>
    </w:lvl>
    <w:lvl w:ilvl="2">
      <w:start w:val="1"/>
      <w:numFmt w:val="decimal"/>
      <w:lvlText w:val="%1.%2.%3"/>
      <w:lvlJc w:val="left"/>
      <w:pPr>
        <w:ind w:left="1418" w:hanging="567"/>
      </w:pPr>
      <w:rPr>
        <w:rFonts w:ascii="Times New Roman" w:hAnsi="Times New Roman" w:cs="Times New Roman" w:hint="default"/>
      </w:rPr>
    </w:lvl>
    <w:lvl w:ilvl="3">
      <w:start w:val="1"/>
      <w:numFmt w:val="decimal"/>
      <w:lvlText w:val="%1.%2.%3.%4"/>
      <w:lvlJc w:val="left"/>
      <w:pPr>
        <w:ind w:left="1984" w:hanging="708"/>
      </w:pPr>
      <w:rPr>
        <w:rFonts w:ascii="Times New Roman" w:hAnsi="Times New Roman" w:cs="Times New Roman" w:hint="default"/>
      </w:rPr>
    </w:lvl>
    <w:lvl w:ilvl="4">
      <w:start w:val="1"/>
      <w:numFmt w:val="decimal"/>
      <w:lvlText w:val="%1.%2.%3.%4.%5"/>
      <w:lvlJc w:val="left"/>
      <w:pPr>
        <w:ind w:left="2551" w:hanging="850"/>
      </w:pPr>
      <w:rPr>
        <w:rFonts w:ascii="Times New Roman" w:hAnsi="Times New Roman" w:cs="Times New Roman" w:hint="default"/>
      </w:rPr>
    </w:lvl>
    <w:lvl w:ilvl="5">
      <w:start w:val="1"/>
      <w:numFmt w:val="decimal"/>
      <w:lvlText w:val="%1.%2.%3.%4.%5.%6"/>
      <w:lvlJc w:val="left"/>
      <w:pPr>
        <w:ind w:left="3260" w:hanging="1134"/>
      </w:pPr>
      <w:rPr>
        <w:rFonts w:ascii="Times New Roman" w:hAnsi="Times New Roman" w:cs="Times New Roman" w:hint="default"/>
      </w:rPr>
    </w:lvl>
    <w:lvl w:ilvl="6">
      <w:start w:val="1"/>
      <w:numFmt w:val="decimal"/>
      <w:lvlText w:val="%1.%2.%3.%4.%5.%6.%7"/>
      <w:lvlJc w:val="left"/>
      <w:pPr>
        <w:ind w:left="3827" w:hanging="1276"/>
      </w:pPr>
      <w:rPr>
        <w:rFonts w:ascii="Times New Roman" w:hAnsi="Times New Roman" w:cs="Times New Roman" w:hint="default"/>
      </w:rPr>
    </w:lvl>
    <w:lvl w:ilvl="7">
      <w:start w:val="1"/>
      <w:numFmt w:val="decimal"/>
      <w:lvlText w:val="%1.%2.%3.%4.%5.%6.%7.%8"/>
      <w:lvlJc w:val="left"/>
      <w:pPr>
        <w:ind w:left="4394" w:hanging="1418"/>
      </w:pPr>
      <w:rPr>
        <w:rFonts w:ascii="Times New Roman" w:hAnsi="Times New Roman" w:cs="Times New Roman" w:hint="default"/>
      </w:rPr>
    </w:lvl>
    <w:lvl w:ilvl="8">
      <w:start w:val="1"/>
      <w:numFmt w:val="decimal"/>
      <w:lvlText w:val="%1.%2.%3.%4.%5.%6.%7.%8.%9"/>
      <w:lvlJc w:val="left"/>
      <w:pPr>
        <w:ind w:left="5102" w:hanging="1700"/>
      </w:pPr>
      <w:rPr>
        <w:rFonts w:ascii="Times New Roman" w:hAnsi="Times New Roman" w:cs="Times New Roman" w:hint="default"/>
      </w:rPr>
    </w:lvl>
  </w:abstractNum>
  <w:abstractNum w:abstractNumId="6" w15:restartNumberingAfterBreak="0">
    <w:nsid w:val="41772387"/>
    <w:multiLevelType w:val="multilevel"/>
    <w:tmpl w:val="41772387"/>
    <w:lvl w:ilvl="0">
      <w:start w:val="1"/>
      <w:numFmt w:val="decimal"/>
      <w:lvlText w:val="(%1)"/>
      <w:lvlJc w:val="left"/>
      <w:pPr>
        <w:ind w:left="1679" w:hanging="420"/>
      </w:pPr>
      <w:rPr>
        <w:rFonts w:hint="eastAsia"/>
      </w:rPr>
    </w:lvl>
    <w:lvl w:ilvl="1">
      <w:start w:val="1"/>
      <w:numFmt w:val="lowerLetter"/>
      <w:lvlText w:val="%2)"/>
      <w:lvlJc w:val="left"/>
      <w:pPr>
        <w:ind w:left="2099" w:hanging="420"/>
      </w:pPr>
    </w:lvl>
    <w:lvl w:ilvl="2">
      <w:start w:val="1"/>
      <w:numFmt w:val="lowerRoman"/>
      <w:lvlText w:val="%3."/>
      <w:lvlJc w:val="right"/>
      <w:pPr>
        <w:ind w:left="2519" w:hanging="420"/>
      </w:pPr>
    </w:lvl>
    <w:lvl w:ilvl="3">
      <w:start w:val="1"/>
      <w:numFmt w:val="decimal"/>
      <w:lvlText w:val="%4."/>
      <w:lvlJc w:val="left"/>
      <w:pPr>
        <w:ind w:left="2939" w:hanging="420"/>
      </w:pPr>
    </w:lvl>
    <w:lvl w:ilvl="4">
      <w:start w:val="1"/>
      <w:numFmt w:val="lowerLetter"/>
      <w:lvlText w:val="%5)"/>
      <w:lvlJc w:val="left"/>
      <w:pPr>
        <w:ind w:left="3359" w:hanging="420"/>
      </w:pPr>
    </w:lvl>
    <w:lvl w:ilvl="5">
      <w:start w:val="1"/>
      <w:numFmt w:val="lowerRoman"/>
      <w:lvlText w:val="%6."/>
      <w:lvlJc w:val="right"/>
      <w:pPr>
        <w:ind w:left="3779" w:hanging="420"/>
      </w:pPr>
    </w:lvl>
    <w:lvl w:ilvl="6">
      <w:start w:val="1"/>
      <w:numFmt w:val="decimal"/>
      <w:lvlText w:val="%7."/>
      <w:lvlJc w:val="left"/>
      <w:pPr>
        <w:ind w:left="4199" w:hanging="420"/>
      </w:pPr>
    </w:lvl>
    <w:lvl w:ilvl="7">
      <w:start w:val="1"/>
      <w:numFmt w:val="lowerLetter"/>
      <w:lvlText w:val="%8)"/>
      <w:lvlJc w:val="left"/>
      <w:pPr>
        <w:ind w:left="4619" w:hanging="420"/>
      </w:pPr>
    </w:lvl>
    <w:lvl w:ilvl="8">
      <w:start w:val="1"/>
      <w:numFmt w:val="lowerRoman"/>
      <w:lvlText w:val="%9."/>
      <w:lvlJc w:val="right"/>
      <w:pPr>
        <w:ind w:left="5039" w:hanging="420"/>
      </w:pPr>
    </w:lvl>
  </w:abstractNum>
  <w:abstractNum w:abstractNumId="7" w15:restartNumberingAfterBreak="0">
    <w:nsid w:val="754D6F77"/>
    <w:multiLevelType w:val="multilevel"/>
    <w:tmpl w:val="00561E08"/>
    <w:lvl w:ilvl="0">
      <w:start w:val="1"/>
      <w:numFmt w:val="decimal"/>
      <w:lvlText w:val="5.%1"/>
      <w:lvlJc w:val="left"/>
      <w:pPr>
        <w:ind w:left="420" w:hanging="420"/>
      </w:pPr>
      <w:rPr>
        <w:rFonts w:ascii="宋体" w:eastAsia="宋体" w:hAnsi="宋体" w:hint="eastAsia"/>
        <w:i w:val="0"/>
        <w:iCs w:val="0"/>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8" w15:restartNumberingAfterBreak="0">
    <w:nsid w:val="76E178B1"/>
    <w:multiLevelType w:val="multilevel"/>
    <w:tmpl w:val="023E8672"/>
    <w:lvl w:ilvl="0">
      <w:start w:val="1"/>
      <w:numFmt w:val="decimal"/>
      <w:lvlText w:val="6.%1"/>
      <w:lvlJc w:val="left"/>
      <w:pPr>
        <w:ind w:left="420" w:hanging="420"/>
      </w:pPr>
      <w:rPr>
        <w:rFonts w:ascii="宋体" w:eastAsia="宋体" w:hAnsi="宋体" w:hint="eastAsia"/>
        <w:i w:val="0"/>
        <w:iCs w:val="0"/>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num w:numId="1">
    <w:abstractNumId w:val="4"/>
  </w:num>
  <w:num w:numId="2">
    <w:abstractNumId w:val="6"/>
  </w:num>
  <w:num w:numId="3">
    <w:abstractNumId w:val="0"/>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7A"/>
    <w:rsid w:val="001203E3"/>
    <w:rsid w:val="002757CE"/>
    <w:rsid w:val="0034587A"/>
    <w:rsid w:val="00420C4D"/>
    <w:rsid w:val="008916C6"/>
    <w:rsid w:val="00F71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7DD742"/>
  <w15:chartTrackingRefBased/>
  <w15:docId w15:val="{07CC80AB-1EE3-4CD1-A0B7-F8C061D3C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87A"/>
    <w:pPr>
      <w:jc w:val="both"/>
    </w:pPr>
    <w:rPr>
      <w:rFonts w:ascii="Calibri" w:eastAsia="宋体" w:hAnsi="Calibri" w:cs="Calibri"/>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1E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711EB"/>
    <w:rPr>
      <w:rFonts w:ascii="Calibri" w:eastAsia="宋体" w:hAnsi="Calibri" w:cs="Calibri"/>
      <w:kern w:val="0"/>
      <w:sz w:val="18"/>
      <w:szCs w:val="18"/>
    </w:rPr>
  </w:style>
  <w:style w:type="paragraph" w:styleId="a5">
    <w:name w:val="footer"/>
    <w:basedOn w:val="a"/>
    <w:link w:val="a6"/>
    <w:uiPriority w:val="99"/>
    <w:unhideWhenUsed/>
    <w:rsid w:val="00F711EB"/>
    <w:pPr>
      <w:tabs>
        <w:tab w:val="center" w:pos="4153"/>
        <w:tab w:val="right" w:pos="8306"/>
      </w:tabs>
      <w:snapToGrid w:val="0"/>
      <w:jc w:val="left"/>
    </w:pPr>
    <w:rPr>
      <w:sz w:val="18"/>
      <w:szCs w:val="18"/>
    </w:rPr>
  </w:style>
  <w:style w:type="character" w:customStyle="1" w:styleId="a6">
    <w:name w:val="页脚 字符"/>
    <w:basedOn w:val="a0"/>
    <w:link w:val="a5"/>
    <w:uiPriority w:val="99"/>
    <w:rsid w:val="00F711EB"/>
    <w:rPr>
      <w:rFonts w:ascii="Calibri" w:eastAsia="宋体" w:hAnsi="Calibri" w:cs="Calibri"/>
      <w:kern w:val="0"/>
      <w:sz w:val="18"/>
      <w:szCs w:val="18"/>
    </w:rPr>
  </w:style>
  <w:style w:type="character" w:styleId="a7">
    <w:name w:val="Hyperlink"/>
    <w:basedOn w:val="a0"/>
    <w:uiPriority w:val="99"/>
    <w:unhideWhenUsed/>
    <w:rsid w:val="00F711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3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3025</Words>
  <Characters>17247</Characters>
  <Application>Microsoft Office Word</Application>
  <DocSecurity>0</DocSecurity>
  <Lines>143</Lines>
  <Paragraphs>40</Paragraphs>
  <ScaleCrop>false</ScaleCrop>
  <Company/>
  <LinksUpToDate>false</LinksUpToDate>
  <CharactersWithSpaces>20232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唐朝霞</dc:creator>
  <cp:keywords/>
  <dc:description/>
  <cp:lastModifiedBy>孙怀</cp:lastModifiedBy>
  <cp:revision>4</cp:revision>
  <dcterms:created xsi:type="dcterms:W3CDTF">2022-04-27T06:26:00Z</dcterms:created>
  <dcterms:modified xsi:type="dcterms:W3CDTF">2022-08-11T06:57:00Z</dcterms:modified>
</cp:coreProperties>
</file>